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2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 to 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001-42829</w:t>
      </w:r>
    </w:p>
    <w:p>
      <w:pPr>
        <w:spacing w:after="0" w:line="6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FIGURE TECHNOLOGY SOLUTIONS, INC.</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81" w:lineRule="exact"/>
        <w:rPr>
          <w:sz w:val="24"/>
          <w:szCs w:val="24"/>
          <w:color w:val="auto"/>
        </w:rPr>
      </w:pPr>
    </w:p>
    <w:tbl>
      <w:tblPr>
        <w:tblLayout w:type="fixed"/>
        <w:tblInd w:w="1480" w:type="dxa"/>
        <w:tblCellMar>
          <w:top w:w="0" w:type="dxa"/>
          <w:left w:w="0" w:type="dxa"/>
          <w:bottom w:w="0" w:type="dxa"/>
          <w:right w:w="0" w:type="dxa"/>
        </w:tblCellMar>
      </w:tblPr>
      <w:tr>
        <w:trPr>
          <w:trHeight w:val="233"/>
        </w:trPr>
        <w:tc>
          <w:tcPr>
            <w:tcW w:w="454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99-2556408</w:t>
            </w:r>
          </w:p>
        </w:tc>
        <w:tc>
          <w:tcPr>
            <w:tcW w:w="0" w:type="dxa"/>
            <w:vAlign w:val="bottom"/>
          </w:tcPr>
          <w:p>
            <w:pPr>
              <w:spacing w:after="0"/>
              <w:rPr>
                <w:sz w:val="1"/>
                <w:szCs w:val="1"/>
                <w:color w:val="auto"/>
              </w:rPr>
            </w:pPr>
          </w:p>
        </w:tc>
      </w:tr>
      <w:tr>
        <w:trPr>
          <w:trHeight w:val="180"/>
        </w:trPr>
        <w:tc>
          <w:tcPr>
            <w:tcW w:w="4540" w:type="dxa"/>
            <w:vAlign w:val="bottom"/>
          </w:tcPr>
          <w:p>
            <w:pPr>
              <w:jc w:val="center"/>
              <w:ind w:right="153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960" w:type="dxa"/>
            <w:vAlign w:val="bottom"/>
          </w:tcPr>
          <w:p>
            <w:pPr>
              <w:jc w:val="center"/>
              <w:ind w:left="1510"/>
              <w:spacing w:after="0" w:line="18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54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96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92"/>
        </w:trPr>
        <w:tc>
          <w:tcPr>
            <w:tcW w:w="4540" w:type="dxa"/>
            <w:vAlign w:val="bottom"/>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9"/>
              </w:rPr>
              <w:t>100 West Liberty Street, Suite 600</w:t>
            </w:r>
          </w:p>
        </w:tc>
        <w:tc>
          <w:tcPr>
            <w:tcW w:w="29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89501</w:t>
            </w:r>
          </w:p>
        </w:tc>
        <w:tc>
          <w:tcPr>
            <w:tcW w:w="0" w:type="dxa"/>
            <w:vAlign w:val="bottom"/>
          </w:tcPr>
          <w:p>
            <w:pPr>
              <w:spacing w:after="0"/>
              <w:rPr>
                <w:sz w:val="1"/>
                <w:szCs w:val="1"/>
                <w:color w:val="auto"/>
              </w:rPr>
            </w:pPr>
          </w:p>
        </w:tc>
      </w:tr>
      <w:tr>
        <w:trPr>
          <w:trHeight w:val="238"/>
        </w:trPr>
        <w:tc>
          <w:tcPr>
            <w:tcW w:w="4540" w:type="dxa"/>
            <w:vAlign w:val="bottom"/>
          </w:tcPr>
          <w:p>
            <w:pPr>
              <w:jc w:val="center"/>
              <w:ind w:right="1530"/>
              <w:spacing w:after="0"/>
              <w:rPr>
                <w:sz w:val="20"/>
                <w:szCs w:val="20"/>
                <w:color w:val="auto"/>
              </w:rPr>
            </w:pPr>
            <w:r>
              <w:rPr>
                <w:rFonts w:ascii="Times New Roman" w:cs="Times New Roman" w:eastAsia="Times New Roman" w:hAnsi="Times New Roman"/>
                <w:sz w:val="18"/>
                <w:szCs w:val="18"/>
                <w:b w:val="1"/>
                <w:bCs w:val="1"/>
                <w:color w:val="auto"/>
              </w:rPr>
              <w:t>Reno, NV</w:t>
            </w:r>
          </w:p>
        </w:tc>
        <w:tc>
          <w:tcPr>
            <w:tcW w:w="2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4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96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(917) 789-8049</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324"/>
        </w:trPr>
        <w:tc>
          <w:tcPr>
            <w:tcW w:w="4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9"/>
        </w:trPr>
        <w:tc>
          <w:tcPr>
            <w:tcW w:w="4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20" w:type="dxa"/>
            <w:vAlign w:val="bottom"/>
            <w:tcBorders>
              <w:bottom w:val="single" w:sz="8" w:color="auto"/>
            </w:tcBorders>
          </w:tcPr>
          <w:p>
            <w:pPr>
              <w:spacing w:after="0"/>
              <w:rPr>
                <w:sz w:val="16"/>
                <w:szCs w:val="16"/>
                <w:color w:val="auto"/>
              </w:rPr>
            </w:pPr>
          </w:p>
        </w:tc>
      </w:tr>
      <w:tr>
        <w:trPr>
          <w:trHeight w:val="237"/>
        </w:trPr>
        <w:tc>
          <w:tcPr>
            <w:tcW w:w="4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FIGR</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319" w:lineRule="exact"/>
        <w:rPr>
          <w:sz w:val="24"/>
          <w:szCs w:val="24"/>
          <w:color w:val="auto"/>
        </w:rPr>
      </w:pPr>
    </w:p>
    <w:p>
      <w:pPr>
        <w:ind w:right="3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86"/>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vMerge w:val="restart"/>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6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640" w:type="dxa"/>
            <w:vAlign w:val="bottom"/>
          </w:tcPr>
          <w:p>
            <w:pPr>
              <w:spacing w:after="0"/>
              <w:rPr>
                <w:sz w:val="16"/>
                <w:szCs w:val="16"/>
                <w:color w:val="auto"/>
              </w:rPr>
            </w:pPr>
          </w:p>
        </w:tc>
        <w:tc>
          <w:tcPr>
            <w:tcW w:w="124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64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34"/>
        </w:trPr>
        <w:tc>
          <w:tcPr>
            <w:tcW w:w="24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As of May 11, 2026, registrant had outstanding 182,622,749 shares of Class A common stock, net of treasury shares, 37,893,047 shares of Class B common stock and 585,053 shares of Blockchain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843280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80" w:type="dxa"/>
            <w:vAlign w:val="bottom"/>
            <w:gridSpan w:val="9"/>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0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760" w:type="dxa"/>
            <w:vAlign w:val="bottom"/>
            <w:gridSpan w:val="10"/>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3920" w:type="dxa"/>
            <w:vAlign w:val="bottom"/>
            <w:gridSpan w:val="15"/>
          </w:tcPr>
          <w:p>
            <w:pPr>
              <w:ind w:left="420"/>
              <w:spacing w:after="0"/>
              <w:rPr>
                <w:sz w:val="20"/>
                <w:szCs w:val="20"/>
                <w:color w:val="auto"/>
              </w:rPr>
            </w:pPr>
            <w:r>
              <w:rPr>
                <w:rFonts w:ascii="Times New Roman" w:cs="Times New Roman" w:eastAsia="Times New Roman" w:hAnsi="Times New Roman"/>
                <w:sz w:val="18"/>
                <w:szCs w:val="18"/>
                <w:color w:val="0000FF"/>
              </w:rPr>
              <w:t>Financial Statements</w:t>
            </w:r>
          </w:p>
        </w:tc>
        <w:tc>
          <w:tcPr>
            <w:tcW w:w="2240" w:type="dxa"/>
            <w:vAlign w:val="bottom"/>
            <w:tcBorders>
              <w:top w:val="single" w:sz="8" w:color="0000FF"/>
            </w:tcBorders>
            <w:gridSpan w:val="5"/>
          </w:tcPr>
          <w:p>
            <w:pPr>
              <w:spacing w:after="0"/>
              <w:rPr>
                <w:sz w:val="18"/>
                <w:szCs w:val="18"/>
                <w:color w:val="auto"/>
              </w:rPr>
            </w:pPr>
          </w:p>
        </w:tc>
        <w:tc>
          <w:tcPr>
            <w:tcW w:w="3520" w:type="dxa"/>
            <w:vAlign w:val="bottom"/>
            <w:gridSpan w:val="5"/>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2026 and 2025</w:t>
            </w:r>
          </w:p>
        </w:tc>
        <w:tc>
          <w:tcPr>
            <w:tcW w:w="1400" w:type="dxa"/>
            <w:vAlign w:val="bottom"/>
            <w:gridSpan w:val="2"/>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2026 and 2025</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68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00" w:type="dxa"/>
            <w:vAlign w:val="bottom"/>
            <w:gridSpan w:val="2"/>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6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Note 1 – Business and Organization</w:t>
            </w:r>
          </w:p>
        </w:tc>
        <w:tc>
          <w:tcPr>
            <w:tcW w:w="1180" w:type="dxa"/>
            <w:vAlign w:val="bottom"/>
            <w:tcBorders>
              <w:top w:val="single" w:sz="8" w:color="0000FF"/>
            </w:tcBorders>
            <w:gridSpan w:val="5"/>
          </w:tcPr>
          <w:p>
            <w:pPr>
              <w:spacing w:after="0"/>
              <w:rPr>
                <w:sz w:val="18"/>
                <w:szCs w:val="18"/>
                <w:color w:val="auto"/>
              </w:rPr>
            </w:pPr>
          </w:p>
        </w:tc>
        <w:tc>
          <w:tcPr>
            <w:tcW w:w="506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2 – Summary of Significant Accounting Policies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Note 3 – Investments</w:t>
            </w:r>
          </w:p>
        </w:tc>
        <w:tc>
          <w:tcPr>
            <w:tcW w:w="494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 4 – Servicing</w:t>
            </w:r>
          </w:p>
        </w:tc>
        <w:tc>
          <w:tcPr>
            <w:tcW w:w="730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 5 – Loans</w:t>
            </w:r>
          </w:p>
        </w:tc>
        <w:tc>
          <w:tcPr>
            <w:tcW w:w="280" w:type="dxa"/>
            <w:vAlign w:val="bottom"/>
            <w:tcBorders>
              <w:top w:val="single" w:sz="8" w:color="0000FF"/>
            </w:tcBorders>
            <w:gridSpan w:val="2"/>
          </w:tcPr>
          <w:p>
            <w:pPr>
              <w:spacing w:after="0"/>
              <w:rPr>
                <w:sz w:val="18"/>
                <w:szCs w:val="18"/>
                <w:color w:val="auto"/>
              </w:rPr>
            </w:pPr>
          </w:p>
        </w:tc>
        <w:tc>
          <w:tcPr>
            <w:tcW w:w="74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6 – Debt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 7 – Equity</w:t>
            </w:r>
          </w:p>
        </w:tc>
        <w:tc>
          <w:tcPr>
            <w:tcW w:w="768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8 – Net Income (Loss) Per Share</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Note 9 – Variable Interest Entities</w:t>
            </w:r>
          </w:p>
        </w:tc>
        <w:tc>
          <w:tcPr>
            <w:tcW w:w="300" w:type="dxa"/>
            <w:vAlign w:val="bottom"/>
            <w:tcBorders>
              <w:top w:val="single" w:sz="8" w:color="0000FF"/>
            </w:tcBorders>
            <w:gridSpan w:val="3"/>
          </w:tcPr>
          <w:p>
            <w:pPr>
              <w:spacing w:after="0"/>
              <w:rPr>
                <w:sz w:val="18"/>
                <w:szCs w:val="18"/>
                <w:color w:val="auto"/>
              </w:rPr>
            </w:pPr>
          </w:p>
        </w:tc>
        <w:tc>
          <w:tcPr>
            <w:tcW w:w="6080" w:type="dxa"/>
            <w:vAlign w:val="bottom"/>
            <w:gridSpan w:val="11"/>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10 – Commitments and Contingencies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 11 – Related Party Transactions</w:t>
            </w:r>
          </w:p>
        </w:tc>
        <w:tc>
          <w:tcPr>
            <w:tcW w:w="5680" w:type="dxa"/>
            <w:vAlign w:val="bottom"/>
            <w:gridSpan w:val="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Note 12 – Fair Value Measurements</w:t>
            </w:r>
          </w:p>
        </w:tc>
        <w:tc>
          <w:tcPr>
            <w:tcW w:w="6160" w:type="dxa"/>
            <w:vAlign w:val="bottom"/>
            <w:gridSpan w:val="1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Note 13 – Income Taxes</w:t>
            </w:r>
          </w:p>
        </w:tc>
        <w:tc>
          <w:tcPr>
            <w:tcW w:w="62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 14 - Subsequent Events</w:t>
            </w:r>
          </w:p>
        </w:tc>
        <w:tc>
          <w:tcPr>
            <w:tcW w:w="674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680" w:type="dxa"/>
            <w:vAlign w:val="bottom"/>
            <w:gridSpan w:val="25"/>
          </w:tcPr>
          <w:p>
            <w:pPr>
              <w:ind w:left="4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Borders>
              <w:right w:val="single" w:sz="8" w:color="0000FF"/>
            </w:tcBorders>
            <w:gridSpan w:val="6"/>
            <w:shd w:val="clear" w:color="auto" w:fill="0000FF"/>
          </w:tcPr>
          <w:p>
            <w:pPr>
              <w:spacing w:after="0" w:line="20" w:lineRule="exact"/>
              <w:rPr>
                <w:sz w:val="1"/>
                <w:szCs w:val="1"/>
                <w:color w:val="auto"/>
              </w:rPr>
            </w:pPr>
          </w:p>
        </w:tc>
        <w:tc>
          <w:tcPr>
            <w:tcW w:w="2580" w:type="dxa"/>
            <w:vAlign w:val="bottom"/>
            <w:gridSpan w:val="12"/>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680" w:type="dxa"/>
            <w:vAlign w:val="bottom"/>
            <w:gridSpan w:val="25"/>
          </w:tcPr>
          <w:p>
            <w:pPr>
              <w:ind w:left="4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Borders>
              <w:right w:val="single" w:sz="8" w:color="0000FF"/>
            </w:tcBorders>
            <w:gridSpan w:val="6"/>
            <w:shd w:val="clear" w:color="auto" w:fill="0000FF"/>
          </w:tcPr>
          <w:p>
            <w:pPr>
              <w:spacing w:after="0" w:line="20" w:lineRule="exact"/>
              <w:rPr>
                <w:sz w:val="1"/>
                <w:szCs w:val="1"/>
                <w:color w:val="auto"/>
              </w:rPr>
            </w:pPr>
          </w:p>
        </w:tc>
        <w:tc>
          <w:tcPr>
            <w:tcW w:w="2580" w:type="dxa"/>
            <w:vAlign w:val="bottom"/>
            <w:gridSpan w:val="12"/>
            <w:shd w:val="clear" w:color="auto" w:fill="0000FF"/>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9680" w:type="dxa"/>
            <w:vAlign w:val="bottom"/>
            <w:gridSpan w:val="25"/>
          </w:tcPr>
          <w:p>
            <w:pPr>
              <w:ind w:left="4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4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80" w:type="dxa"/>
            <w:vAlign w:val="bottom"/>
            <w:gridSpan w:val="2"/>
          </w:tcPr>
          <w:p>
            <w:pPr>
              <w:spacing w:after="0"/>
              <w:rPr>
                <w:sz w:val="18"/>
                <w:szCs w:val="18"/>
                <w:color w:val="auto"/>
              </w:rPr>
            </w:pPr>
          </w:p>
        </w:tc>
        <w:tc>
          <w:tcPr>
            <w:tcW w:w="1022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1022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560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280" w:type="dxa"/>
            <w:vAlign w:val="bottom"/>
            <w:gridSpan w:val="2"/>
          </w:tcPr>
          <w:p>
            <w:pPr>
              <w:spacing w:after="0"/>
              <w:rPr>
                <w:sz w:val="18"/>
                <w:szCs w:val="18"/>
                <w:color w:val="auto"/>
              </w:rPr>
            </w:pPr>
          </w:p>
        </w:tc>
        <w:tc>
          <w:tcPr>
            <w:tcW w:w="1022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760" w:type="dxa"/>
            <w:vAlign w:val="bottom"/>
            <w:gridSpan w:val="4"/>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80" w:type="dxa"/>
            <w:vAlign w:val="bottom"/>
            <w:gridSpan w:val="2"/>
          </w:tcPr>
          <w:p>
            <w:pPr>
              <w:spacing w:after="0"/>
              <w:rPr>
                <w:sz w:val="18"/>
                <w:szCs w:val="18"/>
                <w:color w:val="auto"/>
              </w:rPr>
            </w:pPr>
          </w:p>
        </w:tc>
        <w:tc>
          <w:tcPr>
            <w:tcW w:w="1022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32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80" w:type="dxa"/>
            <w:vAlign w:val="bottom"/>
            <w:gridSpan w:val="2"/>
          </w:tcPr>
          <w:p>
            <w:pPr>
              <w:spacing w:after="0"/>
              <w:rPr>
                <w:sz w:val="18"/>
                <w:szCs w:val="18"/>
                <w:color w:val="auto"/>
              </w:rPr>
            </w:pPr>
          </w:p>
        </w:tc>
        <w:tc>
          <w:tcPr>
            <w:tcW w:w="1022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760" w:type="dxa"/>
            <w:vAlign w:val="bottom"/>
            <w:gridSpan w:val="6"/>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80" w:type="dxa"/>
            <w:vAlign w:val="bottom"/>
            <w:gridSpan w:val="2"/>
          </w:tcPr>
          <w:p>
            <w:pPr>
              <w:spacing w:after="0"/>
              <w:rPr>
                <w:sz w:val="18"/>
                <w:szCs w:val="18"/>
                <w:color w:val="auto"/>
              </w:rPr>
            </w:pPr>
          </w:p>
        </w:tc>
        <w:tc>
          <w:tcPr>
            <w:tcW w:w="1022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20" w:type="dxa"/>
            <w:vAlign w:val="bottom"/>
            <w:gridSpan w:val="8"/>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2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8"/>
                <w:szCs w:val="18"/>
                <w:color w:val="auto"/>
              </w:rPr>
            </w:pPr>
          </w:p>
        </w:tc>
      </w:tr>
      <w:tr>
        <w:trPr>
          <w:trHeight w:val="1202"/>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including without limitation, statements regarding our future financial performance, including our expectations regarding our revenue, expenses, ability to determine reserves, and ability to remain profitable; our ability to maintain, expand, and enter into new relationships with partners and loan purchasers on the secondary market; our ability to broaden our network of partners; our ability to develop and achieve market acceptance of new products and services, including On-Chain Public Equity Network (“OPEN”), including its expected capabilities, and our Blockchain Common Stock; anticipated trends, growth rates, and challenges in our business; and the cryptoeconomy, the price, and market capitalization of digital assets; the development and adoption of blockchain technology; our expectations regarding the trading market, liquidity, and trading price of our Class A common stock and Blockchain Common Stock (together with our Class B common stock, our “common stock”); our ability to maintain effective internal control over financial reporting; our expectations regarding the regulatory environment applicable to our lending and digital asset activities; and our ability to maintain required licenses and regulatory approvals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4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include, but are not limited to the following: our history of losses and the risk that we may not maintain profitability; our reliance on HELOCs and exposure to fluctuations in the HELOC market and housing values; our ability to attract and retain borrowers, partners, and loan purchasers and to drive adoption of Figure-branded and Partner-branded channels including Figure Connect; loan performance and default rates and the effect of credit performance on access to and pricing of warehouse facilities, whole-loan sales, and securitizations; changes in interest rates and U.S. monetary policy that impact originations, funding costs, and investor demand; legal and regulatory risks affecting lending and mortgage-related activities and the evolving framework for digital assets, including potential changes in the characterization or regulation of certain digital assets and related products; dependence on key third-party providers including cloud, custodial, valuation, and data vendors and risks from outages or service disruptions; technology failures, cybersecurity incidents, or other operational disruptions; protection and enforcement of intellectual property; compliance with licensing, consumer protection, privacy, data security, and sanctions/AML laws, and shifting enforcement priorities at the federal and state levels; our ability to meet our public company reporting and internal control obligations; competition; macroeconomic and geopolitical conditions; our dual-class structure and concentrated voting control and related impacts on corporate governance; equity market volatility affecting our common stock; and the other important factors described under the sections in our Annual Report on Form 10-K for the year ended December 31, 2025 filed with the Securities and Exchange Commission (the “SEC”) on March 16, 2026 and in our other filings with the SEC. Other sections of this Quarterly Report, including “Management's Discussion and Analysis of Financial Condition and Results of Operations”, include additional factors that could adversely impact our business and financial performance.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right"/>
        <w:ind w:right="29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18"/>
                <w:szCs w:val="18"/>
                <w:color w:val="auto"/>
              </w:rPr>
            </w:pPr>
          </w:p>
        </w:tc>
        <w:tc>
          <w:tcPr>
            <w:tcW w:w="16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199"/>
        </w:trPr>
        <w:tc>
          <w:tcPr>
            <w:tcW w:w="7520" w:type="dxa"/>
            <w:vAlign w:val="bottom"/>
            <w:tcBorders>
              <w:top w:val="single" w:sz="8" w:color="CCEEFF"/>
            </w:tcBorders>
            <w:shd w:val="clear" w:color="auto" w:fill="CCEEFF"/>
          </w:tcPr>
          <w:p>
            <w:pPr>
              <w:ind w:left="33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1,464,643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1,198,141</w:t>
            </w:r>
          </w:p>
        </w:tc>
        <w:tc>
          <w:tcPr>
            <w:tcW w:w="0" w:type="dxa"/>
            <w:vAlign w:val="bottom"/>
          </w:tcPr>
          <w:p>
            <w:pPr>
              <w:spacing w:after="0"/>
              <w:rPr>
                <w:sz w:val="1"/>
                <w:szCs w:val="1"/>
                <w:color w:val="auto"/>
              </w:rPr>
            </w:pPr>
          </w:p>
        </w:tc>
      </w:tr>
      <w:tr>
        <w:trPr>
          <w:trHeight w:val="213"/>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68,637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Loans held for sale, at fair value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404,337</w:t>
            </w:r>
          </w:p>
        </w:tc>
        <w:tc>
          <w:tcPr>
            <w:tcW w:w="0" w:type="dxa"/>
            <w:vAlign w:val="bottom"/>
          </w:tcPr>
          <w:p>
            <w:pPr>
              <w:spacing w:after="0"/>
              <w:rPr>
                <w:sz w:val="1"/>
                <w:szCs w:val="1"/>
                <w:color w:val="auto"/>
              </w:rPr>
            </w:pPr>
          </w:p>
        </w:tc>
      </w:tr>
      <w:tr>
        <w:trPr>
          <w:trHeight w:val="213"/>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Digital assets ($62,430 and $84,867 at fair value)</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96,558</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52,016</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46,005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41,518</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2,226,138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1,861,207</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 servicing asset, at fair value</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113,064</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Marketable securities, at fair value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273,151</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Digital assets, non-current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26,037</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52,392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40,420</w:t>
            </w:r>
          </w:p>
        </w:tc>
        <w:tc>
          <w:tcPr>
            <w:tcW w:w="0" w:type="dxa"/>
            <w:vAlign w:val="bottom"/>
          </w:tcPr>
          <w:p>
            <w:pPr>
              <w:spacing w:after="0"/>
              <w:rPr>
                <w:sz w:val="1"/>
                <w:szCs w:val="1"/>
                <w:color w:val="auto"/>
              </w:rPr>
            </w:pPr>
          </w:p>
        </w:tc>
      </w:tr>
      <w:tr>
        <w:trPr>
          <w:trHeight w:val="23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2,730,893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2,317,523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19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5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Payables to third-party loan owners</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383,772</w:t>
            </w:r>
          </w:p>
        </w:tc>
        <w:tc>
          <w:tcPr>
            <w:tcW w:w="0" w:type="dxa"/>
            <w:vAlign w:val="bottom"/>
          </w:tcPr>
          <w:p>
            <w:pPr>
              <w:spacing w:after="0"/>
              <w:rPr>
                <w:sz w:val="1"/>
                <w:szCs w:val="1"/>
                <w:color w:val="auto"/>
              </w:rPr>
            </w:pPr>
          </w:p>
        </w:tc>
      </w:tr>
      <w:tr>
        <w:trPr>
          <w:trHeight w:val="213"/>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Debt, current ($174,589 and $100,519 at fair value)</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160,959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Debt, current to related parties ($376,526 and $166,135 at fair value)</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166,135</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86,601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105,642</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1,172,756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846,009</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non-current</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230,143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liability, non-current</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0" w:type="dxa"/>
            <w:vAlign w:val="bottom"/>
          </w:tcPr>
          <w:p>
            <w:pPr>
              <w:spacing w:after="0"/>
              <w:rPr>
                <w:sz w:val="1"/>
                <w:szCs w:val="1"/>
                <w:color w:val="auto"/>
              </w:rPr>
            </w:pP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1,438,873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1,080,325</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5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Preferred stock — $0.0001 par value per share: 100,000,000 shares authorized, no shares issued and</w:t>
            </w:r>
          </w:p>
        </w:tc>
        <w:tc>
          <w:tcPr>
            <w:tcW w:w="240" w:type="dxa"/>
            <w:vAlign w:val="bottom"/>
          </w:tcPr>
          <w:p>
            <w:pPr>
              <w:spacing w:after="0"/>
              <w:rPr>
                <w:sz w:val="14"/>
                <w:szCs w:val="14"/>
                <w:color w:val="auto"/>
              </w:rPr>
            </w:pPr>
          </w:p>
        </w:tc>
        <w:tc>
          <w:tcPr>
            <w:tcW w:w="168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6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outstanding at March 31, 2026 and December 31, 2025</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Class A common stock — $0.0001 par value per share: 1,000,000,000 shares authorized, 180,812,863 shares</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62"/>
        </w:trPr>
        <w:tc>
          <w:tcPr>
            <w:tcW w:w="7520" w:type="dxa"/>
            <w:vAlign w:val="bottom"/>
            <w:shd w:val="clear" w:color="auto" w:fill="CCEEFF"/>
          </w:tcPr>
          <w:p>
            <w:pPr>
              <w:ind w:left="400"/>
              <w:spacing w:after="0" w:line="162" w:lineRule="exact"/>
              <w:rPr>
                <w:sz w:val="20"/>
                <w:szCs w:val="20"/>
                <w:color w:val="auto"/>
              </w:rPr>
            </w:pPr>
            <w:r>
              <w:rPr>
                <w:rFonts w:ascii="Times New Roman" w:cs="Times New Roman" w:eastAsia="Times New Roman" w:hAnsi="Times New Roman"/>
                <w:sz w:val="16"/>
                <w:szCs w:val="16"/>
                <w:color w:val="auto"/>
              </w:rPr>
              <w:t>issued and outstanding at March 31, 2026; 1,000,000,000 shares authorized, 178,485,407 issued and</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outstanding at December 31, 2025</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Class B common stock — $0.0001 par value per share: 200,000,000 shares authorized, 37,893,047 shares</w:t>
            </w:r>
          </w:p>
        </w:tc>
        <w:tc>
          <w:tcPr>
            <w:tcW w:w="240" w:type="dxa"/>
            <w:vAlign w:val="bottom"/>
          </w:tcPr>
          <w:p>
            <w:pPr>
              <w:spacing w:after="0"/>
              <w:rPr>
                <w:sz w:val="14"/>
                <w:szCs w:val="14"/>
                <w:color w:val="auto"/>
              </w:rPr>
            </w:pPr>
          </w:p>
        </w:tc>
        <w:tc>
          <w:tcPr>
            <w:tcW w:w="15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62"/>
        </w:trPr>
        <w:tc>
          <w:tcPr>
            <w:tcW w:w="7520" w:type="dxa"/>
            <w:vAlign w:val="bottom"/>
          </w:tcPr>
          <w:p>
            <w:pPr>
              <w:ind w:left="400"/>
              <w:spacing w:after="0" w:line="162" w:lineRule="exact"/>
              <w:rPr>
                <w:sz w:val="20"/>
                <w:szCs w:val="20"/>
                <w:color w:val="auto"/>
              </w:rPr>
            </w:pPr>
            <w:r>
              <w:rPr>
                <w:rFonts w:ascii="Times New Roman" w:cs="Times New Roman" w:eastAsia="Times New Roman" w:hAnsi="Times New Roman"/>
                <w:sz w:val="16"/>
                <w:szCs w:val="16"/>
                <w:color w:val="auto"/>
              </w:rPr>
              <w:t>issued and outstanding at March 31, 2026; 200,000,000 shares authorized, 37,893,047 issued and outstanding</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at December 31, 2025</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2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Blockchain common stock — $0.0001 par value per share: 500,000,000 shares authorized, 687,920 and no</w:t>
            </w:r>
          </w:p>
        </w:tc>
        <w:tc>
          <w:tcPr>
            <w:tcW w:w="24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right"/>
              <w:ind w:right="180"/>
              <w:spacing w:after="0" w:line="16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shares issued and outstanding at March 31, 2026 and December 31, 2025</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Treasury stock, at cost</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1,452,264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1,415,804</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(142,048)</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(186,993)</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Figure Technology Solutions, Inc. stockholders' equity</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1,228,834</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Noncontrolling interests in consolidated subsidiaries</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8,364</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1,237,198</w:t>
            </w:r>
          </w:p>
        </w:tc>
        <w:tc>
          <w:tcPr>
            <w:tcW w:w="0" w:type="dxa"/>
            <w:vAlign w:val="bottom"/>
          </w:tcPr>
          <w:p>
            <w:pPr>
              <w:spacing w:after="0"/>
              <w:rPr>
                <w:sz w:val="1"/>
                <w:szCs w:val="1"/>
                <w:color w:val="auto"/>
              </w:rPr>
            </w:pPr>
          </w:p>
        </w:tc>
      </w:tr>
      <w:tr>
        <w:trPr>
          <w:trHeight w:val="20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2,730,893</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2,317,523</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FIGURE TECHNOLOGY SOLUTIONS, INC. CONDENSED CONSOLIDATED STATEMENTS OF OPERATIONS (UNAUDITED)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8"/>
        </w:trPr>
        <w:tc>
          <w:tcPr>
            <w:tcW w:w="8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Ecosystem and technology fees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47,306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15,613</w:t>
            </w: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Servicing fees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7,191</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11,224</w:t>
            </w: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Origination fees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12,477</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sale of loans,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29,792</w:t>
            </w: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Gain on servicing asset,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Marketable securities income, net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7,613</w:t>
            </w: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revenue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07"/>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net revenue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167,007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84,510</w:t>
            </w:r>
          </w:p>
        </w:tc>
      </w:tr>
      <w:tr>
        <w:trPr>
          <w:trHeight w:val="19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18,840</w:t>
            </w: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product development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17,416</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Operations and processing</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12,678</w:t>
            </w: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14,967</w:t>
            </w:r>
          </w:p>
        </w:tc>
      </w:tr>
      <w:tr>
        <w:trPr>
          <w:trHeight w:val="21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10,972</w:t>
            </w: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expense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w:t>
            </w:r>
          </w:p>
        </w:tc>
      </w:tr>
      <w:tr>
        <w:trPr>
          <w:trHeight w:val="207"/>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expenses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125,066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76,438</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(7,455)</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w:t>
            </w: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r>
      <w:tr>
        <w:trPr>
          <w:trHeight w:val="21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 in consolidated subsidiaries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37"/>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Figure Technology Solutions, Inc.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share of Class A, Class B, and Blockchain common stock</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1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Class A, Class B, and Blockchain common shares outstanding</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217,277,605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69,398,649</w:t>
            </w:r>
          </w:p>
        </w:tc>
      </w:tr>
      <w:tr>
        <w:trPr>
          <w:trHeight w:val="210"/>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248,829,672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69,398,649</w:t>
            </w:r>
          </w:p>
        </w:tc>
      </w:tr>
    </w:tbl>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Figure</w:t>
            </w:r>
          </w:p>
        </w:tc>
        <w:tc>
          <w:tcPr>
            <w:tcW w:w="10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80" w:type="dxa"/>
            <w:vAlign w:val="bottom"/>
          </w:tcPr>
          <w:p>
            <w:pPr>
              <w:spacing w:after="0"/>
              <w:rPr>
                <w:sz w:val="12"/>
                <w:szCs w:val="12"/>
                <w:color w:val="auto"/>
              </w:rPr>
            </w:pPr>
          </w:p>
        </w:tc>
        <w:tc>
          <w:tcPr>
            <w:tcW w:w="1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420" w:type="dxa"/>
            <w:vAlign w:val="bottom"/>
            <w:gridSpan w:val="4"/>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120" w:type="dxa"/>
            <w:vAlign w:val="bottom"/>
          </w:tcPr>
          <w:p>
            <w:pPr>
              <w:spacing w:after="0"/>
              <w:rPr>
                <w:sz w:val="12"/>
                <w:szCs w:val="12"/>
                <w:color w:val="auto"/>
              </w:rPr>
            </w:pPr>
          </w:p>
        </w:tc>
        <w:tc>
          <w:tcPr>
            <w:tcW w:w="1260" w:type="dxa"/>
            <w:vAlign w:val="bottom"/>
            <w:gridSpan w:val="3"/>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Blockchain</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Technology</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0"/>
        </w:trPr>
        <w:tc>
          <w:tcPr>
            <w:tcW w:w="138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60" w:type="dxa"/>
            <w:vAlign w:val="bottom"/>
            <w:gridSpan w:val="4"/>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740" w:type="dxa"/>
            <w:vAlign w:val="bottom"/>
            <w:gridSpan w:val="3"/>
            <w:vMerge w:val="restart"/>
          </w:tcPr>
          <w:p>
            <w:pPr>
              <w:jc w:val="right"/>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gridSpan w:val="3"/>
            <w:vMerge w:val="restart"/>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Solutions, Inc.</w:t>
            </w:r>
          </w:p>
        </w:tc>
        <w:tc>
          <w:tcPr>
            <w:tcW w:w="100" w:type="dxa"/>
            <w:vAlign w:val="bottom"/>
          </w:tcPr>
          <w:p>
            <w:pPr>
              <w:spacing w:after="0"/>
              <w:rPr>
                <w:sz w:val="6"/>
                <w:szCs w:val="6"/>
                <w:color w:val="auto"/>
              </w:rPr>
            </w:pPr>
          </w:p>
        </w:tc>
        <w:tc>
          <w:tcPr>
            <w:tcW w:w="880" w:type="dxa"/>
            <w:vAlign w:val="bottom"/>
            <w:vMerge w:val="restart"/>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60" w:type="dxa"/>
            <w:vAlign w:val="bottom"/>
          </w:tcPr>
          <w:p>
            <w:pPr>
              <w:spacing w:after="0"/>
              <w:rPr>
                <w:sz w:val="6"/>
                <w:szCs w:val="6"/>
                <w:color w:val="auto"/>
              </w:rPr>
            </w:pPr>
          </w:p>
        </w:tc>
        <w:tc>
          <w:tcPr>
            <w:tcW w:w="740" w:type="dxa"/>
            <w:vAlign w:val="bottom"/>
            <w:vMerge w:val="restart"/>
          </w:tcPr>
          <w:p>
            <w:pPr>
              <w:jc w:val="center"/>
              <w:ind w:right="88"/>
              <w:spacing w:after="0" w:line="13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5"/>
        </w:trPr>
        <w:tc>
          <w:tcPr>
            <w:tcW w:w="1380" w:type="dxa"/>
            <w:vAlign w:val="bottom"/>
          </w:tcPr>
          <w:p>
            <w:pPr>
              <w:spacing w:after="0"/>
              <w:rPr>
                <w:sz w:val="5"/>
                <w:szCs w:val="5"/>
                <w:color w:val="auto"/>
              </w:rPr>
            </w:pPr>
          </w:p>
        </w:tc>
        <w:tc>
          <w:tcPr>
            <w:tcW w:w="1160" w:type="dxa"/>
            <w:vAlign w:val="bottom"/>
            <w:gridSpan w:val="2"/>
            <w:vMerge w:val="restart"/>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5"/>
                <w:szCs w:val="5"/>
                <w:color w:val="auto"/>
              </w:rPr>
            </w:pPr>
          </w:p>
        </w:tc>
        <w:tc>
          <w:tcPr>
            <w:tcW w:w="98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Pr>
          <w:p>
            <w:pPr>
              <w:spacing w:after="0"/>
              <w:rPr>
                <w:sz w:val="5"/>
                <w:szCs w:val="5"/>
                <w:color w:val="auto"/>
              </w:rPr>
            </w:pPr>
          </w:p>
        </w:tc>
        <w:tc>
          <w:tcPr>
            <w:tcW w:w="1380" w:type="dxa"/>
            <w:vAlign w:val="bottom"/>
            <w:gridSpan w:val="4"/>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4"/>
            <w:vMerge w:val="continue"/>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60" w:type="dxa"/>
            <w:vAlign w:val="bottom"/>
            <w:tcBorders>
              <w:bottom w:val="single" w:sz="8" w:color="auto"/>
            </w:tcBorders>
            <w:gridSpan w:val="2"/>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vMerge w:val="continue"/>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vMerge w:val="continue"/>
          </w:tcPr>
          <w:p>
            <w:pPr>
              <w:spacing w:after="0"/>
              <w:rPr>
                <w:sz w:val="11"/>
                <w:szCs w:val="11"/>
                <w:color w:val="auto"/>
              </w:rPr>
            </w:pPr>
          </w:p>
        </w:tc>
        <w:tc>
          <w:tcPr>
            <w:tcW w:w="1160" w:type="dxa"/>
            <w:vAlign w:val="bottom"/>
            <w:tcBorders>
              <w:bottom w:val="single" w:sz="8" w:color="auto"/>
            </w:tcBorders>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68"/>
              <w:spacing w:after="0" w:line="129"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8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9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9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13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  Shares</w:t>
            </w:r>
          </w:p>
        </w:tc>
        <w:tc>
          <w:tcPr>
            <w:tcW w:w="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8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24"/>
        </w:trPr>
        <w:tc>
          <w:tcPr>
            <w:tcW w:w="13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Balance at December</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178,485,407</w:t>
            </w: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37,893,047</w:t>
            </w:r>
          </w:p>
        </w:tc>
        <w:tc>
          <w:tcPr>
            <w:tcW w:w="2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$ 1,415,804</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(186,993)</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1,228,834</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8,364</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1,237,198</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31, 2025</w:t>
            </w:r>
          </w:p>
        </w:tc>
        <w:tc>
          <w:tcPr>
            <w:tcW w:w="86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740" w:type="dxa"/>
            <w:vAlign w:val="bottom"/>
            <w:gridSpan w:val="3"/>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Exercise of stock</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options and</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2,382,188</w:t>
            </w:r>
          </w:p>
        </w:tc>
        <w:tc>
          <w:tcPr>
            <w:tcW w:w="3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2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0" w:type="dxa"/>
            <w:vAlign w:val="bottom"/>
          </w:tcPr>
          <w:p>
            <w:pPr>
              <w:spacing w:after="0"/>
              <w:rPr>
                <w:sz w:val="1"/>
                <w:szCs w:val="1"/>
                <w:color w:val="auto"/>
              </w:rPr>
            </w:pPr>
          </w:p>
        </w:tc>
      </w:tr>
      <w:tr>
        <w:trPr>
          <w:trHeight w:val="195"/>
        </w:trPr>
        <w:tc>
          <w:tcPr>
            <w:tcW w:w="1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warrants</w:t>
            </w: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Stock compensation</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27,647</w:t>
            </w:r>
          </w:p>
        </w:tc>
        <w:tc>
          <w:tcPr>
            <w:tcW w:w="2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27,647</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27,647</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expense</w:t>
            </w:r>
          </w:p>
        </w:tc>
        <w:tc>
          <w:tcPr>
            <w:tcW w:w="8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Dividends &amp;</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redemptions of</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5"/>
        </w:trPr>
        <w:tc>
          <w:tcPr>
            <w:tcW w:w="1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subsidiaries</w:t>
            </w: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Other equity</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contributions</w:t>
            </w:r>
          </w:p>
        </w:tc>
        <w:tc>
          <w:tcPr>
            <w:tcW w:w="8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Settlement of</w:t>
            </w: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8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restricted stock</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633,188</w:t>
            </w:r>
          </w:p>
        </w:tc>
        <w:tc>
          <w:tcPr>
            <w:tcW w:w="3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280,603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(8,518)</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(8,518)</w:t>
            </w:r>
          </w:p>
        </w:tc>
        <w:tc>
          <w:tcPr>
            <w:tcW w:w="0" w:type="dxa"/>
            <w:vAlign w:val="bottom"/>
          </w:tcPr>
          <w:p>
            <w:pPr>
              <w:spacing w:after="0"/>
              <w:rPr>
                <w:sz w:val="1"/>
                <w:szCs w:val="1"/>
                <w:color w:val="auto"/>
              </w:rPr>
            </w:pPr>
          </w:p>
        </w:tc>
      </w:tr>
      <w:tr>
        <w:trPr>
          <w:trHeight w:val="195"/>
        </w:trPr>
        <w:tc>
          <w:tcPr>
            <w:tcW w:w="1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units</w:t>
            </w: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Blockchain common</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(687,920)</w:t>
            </w:r>
          </w:p>
        </w:tc>
        <w:tc>
          <w:tcPr>
            <w:tcW w:w="3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687,920</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 issuance</w:t>
            </w:r>
          </w:p>
        </w:tc>
        <w:tc>
          <w:tcPr>
            <w:tcW w:w="8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Class A common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312,500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(9,700)</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(9,700)</w:t>
            </w:r>
          </w:p>
        </w:tc>
        <w:tc>
          <w:tcPr>
            <w:tcW w:w="0" w:type="dxa"/>
            <w:vAlign w:val="bottom"/>
          </w:tcPr>
          <w:p>
            <w:pPr>
              <w:spacing w:after="0"/>
              <w:rPr>
                <w:sz w:val="1"/>
                <w:szCs w:val="1"/>
                <w:color w:val="auto"/>
              </w:rPr>
            </w:pPr>
          </w:p>
        </w:tc>
      </w:tr>
      <w:tr>
        <w:trPr>
          <w:trHeight w:val="193"/>
        </w:trPr>
        <w:tc>
          <w:tcPr>
            <w:tcW w:w="13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 repurchases</w:t>
            </w:r>
          </w:p>
        </w:tc>
        <w:tc>
          <w:tcPr>
            <w:tcW w:w="8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3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Deconsolidation of</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(8,394)</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(8,394)</w:t>
            </w:r>
          </w:p>
        </w:tc>
        <w:tc>
          <w:tcPr>
            <w:tcW w:w="0" w:type="dxa"/>
            <w:vAlign w:val="bottom"/>
          </w:tcPr>
          <w:p>
            <w:pPr>
              <w:spacing w:after="0"/>
              <w:rPr>
                <w:sz w:val="1"/>
                <w:szCs w:val="1"/>
                <w:color w:val="auto"/>
              </w:rPr>
            </w:pPr>
          </w:p>
        </w:tc>
      </w:tr>
      <w:tr>
        <w:trPr>
          <w:trHeight w:val="198"/>
        </w:trPr>
        <w:tc>
          <w:tcPr>
            <w:tcW w:w="1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subsidiary</w:t>
            </w:r>
          </w:p>
        </w:tc>
        <w:tc>
          <w:tcPr>
            <w:tcW w:w="86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44,945</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44,945</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45,047</w:t>
            </w:r>
          </w:p>
        </w:tc>
        <w:tc>
          <w:tcPr>
            <w:tcW w:w="0" w:type="dxa"/>
            <w:vAlign w:val="bottom"/>
          </w:tcPr>
          <w:p>
            <w:pPr>
              <w:spacing w:after="0"/>
              <w:rPr>
                <w:sz w:val="1"/>
                <w:szCs w:val="1"/>
                <w:color w:val="auto"/>
              </w:rPr>
            </w:pPr>
          </w:p>
        </w:tc>
      </w:tr>
      <w:tr>
        <w:trPr>
          <w:trHeight w:val="126"/>
        </w:trPr>
        <w:tc>
          <w:tcPr>
            <w:tcW w:w="1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Balance at March 31,</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180,812,863</w:t>
            </w:r>
          </w:p>
        </w:tc>
        <w:tc>
          <w:tcPr>
            <w:tcW w:w="3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37,893,047</w:t>
            </w:r>
          </w:p>
        </w:tc>
        <w:tc>
          <w:tcPr>
            <w:tcW w:w="2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687,920</w:t>
            </w: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593,103</w:t>
            </w:r>
          </w:p>
        </w:tc>
        <w:tc>
          <w:tcPr>
            <w:tcW w:w="6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(18,218)</w:t>
            </w:r>
          </w:p>
        </w:tc>
        <w:tc>
          <w:tcPr>
            <w:tcW w:w="7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$ 1,452,264</w:t>
            </w:r>
          </w:p>
        </w:tc>
        <w:tc>
          <w:tcPr>
            <w:tcW w:w="28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(142,048)</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1,292,021</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1,292,020</w:t>
            </w:r>
          </w:p>
        </w:tc>
        <w:tc>
          <w:tcPr>
            <w:tcW w:w="0" w:type="dxa"/>
            <w:vAlign w:val="bottom"/>
          </w:tcPr>
          <w:p>
            <w:pPr>
              <w:spacing w:after="0"/>
              <w:rPr>
                <w:sz w:val="1"/>
                <w:szCs w:val="1"/>
                <w:color w:val="auto"/>
              </w:rPr>
            </w:pPr>
          </w:p>
        </w:tc>
      </w:tr>
      <w:tr>
        <w:trPr>
          <w:trHeight w:val="191"/>
        </w:trPr>
        <w:tc>
          <w:tcPr>
            <w:tcW w:w="1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2026</w:t>
            </w: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gridSpan w:val="2"/>
            <w:vMerge w:val="continue"/>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gridSpan w:val="3"/>
            <w:vMerge w:val="continue"/>
            <w:shd w:val="clear" w:color="auto" w:fill="CCEEFF"/>
          </w:tcPr>
          <w:p>
            <w:pPr>
              <w:spacing w:after="0"/>
              <w:rPr>
                <w:sz w:val="16"/>
                <w:szCs w:val="16"/>
                <w:color w:val="auto"/>
              </w:rPr>
            </w:pPr>
          </w:p>
        </w:tc>
        <w:tc>
          <w:tcPr>
            <w:tcW w:w="740" w:type="dxa"/>
            <w:vAlign w:val="bottom"/>
            <w:tcBorders>
              <w:bottom w:val="single" w:sz="8" w:color="auto"/>
            </w:tcBorders>
            <w:gridSpan w:val="3"/>
            <w:vMerge w:val="continue"/>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3"/>
          </w:tcPr>
          <w:p>
            <w:pPr>
              <w:spacing w:after="0" w:line="20" w:lineRule="exact"/>
              <w:rPr>
                <w:sz w:val="1"/>
                <w:szCs w:val="1"/>
                <w:color w:val="auto"/>
              </w:rPr>
            </w:pPr>
          </w:p>
        </w:tc>
        <w:tc>
          <w:tcPr>
            <w:tcW w:w="1080" w:type="dxa"/>
            <w:vAlign w:val="bottom"/>
            <w:tcBorders>
              <w:top w:val="single" w:sz="8" w:color="CCEEFF"/>
              <w:bottom w:val="single" w:sz="8" w:color="auto"/>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Total Figure</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6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Technology Solutions,</w:t>
            </w:r>
          </w:p>
        </w:tc>
        <w:tc>
          <w:tcPr>
            <w:tcW w:w="100" w:type="dxa"/>
            <w:vAlign w:val="bottom"/>
          </w:tcPr>
          <w:p>
            <w:pPr>
              <w:spacing w:after="0"/>
              <w:rPr>
                <w:sz w:val="7"/>
                <w:szCs w:val="7"/>
                <w:color w:val="auto"/>
              </w:rPr>
            </w:pPr>
          </w:p>
        </w:tc>
        <w:tc>
          <w:tcPr>
            <w:tcW w:w="980" w:type="dxa"/>
            <w:vAlign w:val="bottom"/>
            <w:gridSpan w:val="2"/>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60" w:type="dxa"/>
            <w:vAlign w:val="bottom"/>
          </w:tcPr>
          <w:p>
            <w:pPr>
              <w:spacing w:after="0"/>
              <w:rPr>
                <w:sz w:val="7"/>
                <w:szCs w:val="7"/>
                <w:color w:val="auto"/>
              </w:rPr>
            </w:pPr>
          </w:p>
        </w:tc>
        <w:tc>
          <w:tcPr>
            <w:tcW w:w="740" w:type="dxa"/>
            <w:vAlign w:val="bottom"/>
            <w:vMerge w:val="restart"/>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1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1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8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Inc. Stockholders’</w:t>
            </w:r>
          </w:p>
        </w:tc>
        <w:tc>
          <w:tcPr>
            <w:tcW w:w="10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90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111,900,495</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69,300,284</w:t>
            </w:r>
          </w:p>
        </w:tc>
        <w:tc>
          <w:tcPr>
            <w:tcW w:w="4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675,945</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(320,851)</w:t>
            </w:r>
          </w:p>
        </w:tc>
        <w:tc>
          <w:tcPr>
            <w:tcW w:w="6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355,098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8,277</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363,375</w:t>
            </w:r>
          </w:p>
        </w:tc>
        <w:tc>
          <w:tcPr>
            <w:tcW w:w="0" w:type="dxa"/>
            <w:vAlign w:val="bottom"/>
          </w:tcPr>
          <w:p>
            <w:pPr>
              <w:spacing w:after="0"/>
              <w:rPr>
                <w:sz w:val="1"/>
                <w:szCs w:val="1"/>
                <w:color w:val="auto"/>
              </w:rPr>
            </w:pPr>
          </w:p>
        </w:tc>
      </w:tr>
      <w:tr>
        <w:trPr>
          <w:trHeight w:val="195"/>
        </w:trPr>
        <w:tc>
          <w:tcPr>
            <w:tcW w:w="254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Exercise of stock options and warrants</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196,733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0" w:type="dxa"/>
            <w:vAlign w:val="bottom"/>
          </w:tcPr>
          <w:p>
            <w:pPr>
              <w:spacing w:after="0"/>
              <w:rPr>
                <w:sz w:val="1"/>
                <w:szCs w:val="1"/>
                <w:color w:val="auto"/>
              </w:rPr>
            </w:pPr>
          </w:p>
        </w:tc>
      </w:tr>
      <w:tr>
        <w:trPr>
          <w:trHeight w:val="195"/>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Issuance of preferred stock warrants</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210"/>
        </w:trPr>
        <w:tc>
          <w:tcPr>
            <w:tcW w:w="25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&amp; redemptions of subsidiaries</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228"/>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111,900,495</w:t>
            </w: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69,497,017</w:t>
            </w:r>
          </w:p>
        </w:tc>
        <w:tc>
          <w:tcPr>
            <w:tcW w:w="48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2</w:t>
            </w:r>
          </w:p>
        </w:tc>
        <w:tc>
          <w:tcPr>
            <w:tcW w:w="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681,794</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(321,671)</w:t>
            </w: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360,127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8,403</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368,530</w:t>
            </w: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ind w:left="340" w:right="2280"/>
        <w:spacing w:after="0" w:line="278" w:lineRule="auto"/>
        <w:rPr>
          <w:sz w:val="20"/>
          <w:szCs w:val="20"/>
          <w:color w:val="auto"/>
        </w:rPr>
      </w:pPr>
      <w:r>
        <w:rPr>
          <w:rFonts w:ascii="Times New Roman" w:cs="Times New Roman" w:eastAsia="Times New Roman" w:hAnsi="Times New Roman"/>
          <w:sz w:val="18"/>
          <w:szCs w:val="18"/>
          <w:b w:val="1"/>
          <w:bCs w:val="1"/>
          <w:color w:val="auto"/>
        </w:rPr>
        <w:t>FIGURE TECHNOLOGY SOLUTIONS, INC. CONDENSED CONSOLIDATED STATEMENTS OF CASH FLOWS (UNAUDITED)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Gain on servicing asset,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(29,792)</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(gain) on sale of digital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 marketable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 (income) from fund and equity method investments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 paid in YLDS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internally developed software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Services exchanged for issuance of warrants</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Losses on repurchased loans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change in operating assets and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loan sales, net of repurchases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1,986,508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978,234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Originations of loans held for sale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(1,202,372)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(680,350)</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loans held for sale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(1,027,603)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(516,863)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payments on loans held for sale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95,990</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(10,476)</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Accounts payable and other liabilities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5,771</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(37,818)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(140,273)</w:t>
            </w:r>
          </w:p>
        </w:tc>
        <w:tc>
          <w:tcPr>
            <w:tcW w:w="0" w:type="dxa"/>
            <w:vAlign w:val="bottom"/>
          </w:tcPr>
          <w:p>
            <w:pPr>
              <w:spacing w:after="0"/>
              <w:rPr>
                <w:sz w:val="1"/>
                <w:szCs w:val="1"/>
                <w:color w:val="auto"/>
              </w:rPr>
            </w:pPr>
          </w:p>
        </w:tc>
      </w:tr>
      <w:tr>
        <w:trPr>
          <w:trHeight w:val="17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Capitalization of internally developed software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digital assets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sales of digital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Realized gains (losses) on futures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(15,161)</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payments on marketable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Deconsolidation of subsidiary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Partner prefunding</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Partner prefunding repayment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(53,593)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(16,127)</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debt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2,066,896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1,037,243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debt, related party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(1,835,081)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(891,375)</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payments on debt, related parties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Payments of deferred financing costs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servicing activity on behalf of third-party loan owners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49,877</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changes in customer deposit liabilities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Distributions to shareholders</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Common stock repurchase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exercises of stock options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361,223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196,032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269,812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39,632</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1,266,778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347,447</w:t>
            </w:r>
          </w:p>
        </w:tc>
        <w:tc>
          <w:tcPr>
            <w:tcW w:w="0" w:type="dxa"/>
            <w:vAlign w:val="bottom"/>
          </w:tcPr>
          <w:p>
            <w:pPr>
              <w:spacing w:after="0"/>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1,536,590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387,079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cash flow disclosure: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during the period for interest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10,720</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during the period for income taxes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4"/>
        </w:trPr>
        <w:tc>
          <w:tcPr>
            <w:tcW w:w="8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losses on futures</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Distributions from Onshore Solana Fund</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internally developed software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Marketable securities retained in securitization transactions</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payments issued through debt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BUSINESS AND ORGANIZATION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Figure Technology Solutions, Inc. (“FTS”, “Figure”, or the “Company”) is a financial technology company that has built a suite of blockchain-based products and solutions centered around the vision of promoting efficiency and liquidity in financial markets. The Company offers a technology-enabled loan origination system and pairs this system with a distribution marketplace, Figure Connect, providing access to a deep and broad pool of capital markets partners (together, the “Technology Offering”). In addition, the Company has utilized blockchain technology to develop an exchange for digital assets and credit, providing interest-bearing stablecoin deposits and Democratized Prime a decentralized, blockchain-based financial marketplace connecting sources and uses of capital.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Corporate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the Company completed a series of corporate transactions:</w:t>
      </w:r>
    </w:p>
    <w:p>
      <w:pPr>
        <w:spacing w:after="0" w:line="169" w:lineRule="exact"/>
        <w:rPr>
          <w:sz w:val="20"/>
          <w:szCs w:val="20"/>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Recombination</w:t>
      </w:r>
      <w:r>
        <w:rPr>
          <w:rFonts w:ascii="Times New Roman" w:cs="Times New Roman" w:eastAsia="Times New Roman" w:hAnsi="Times New Roman"/>
          <w:sz w:val="18"/>
          <w:szCs w:val="18"/>
          <w:color w:val="auto"/>
        </w:rPr>
        <w:t>: On August 29, 2025, FT Intermediate, Inc. (“FTI”) and Figure Markets Holdings, Inc. (“FMH”), entities under common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recombined (the “Recombination”). FTI was subsequently renamed Figure Technology Solutions, Inc. As the Recombination was between entities under the common control of the controlling shareholder, Michael Cagney (“Controlling Party”), the transaction was accounted for in a manner similar to a pooling of interests. Accordingly, the Company’s Condensed Consolidated Financial Statements for the prior-year periods have been retrospectively recast to reflect the combined results of FTI and FMH as if they were a single consolidated entity as of the earliest period presented.</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color w:val="auto"/>
        </w:rPr>
        <w:t>Initial Public Offering</w:t>
      </w:r>
      <w:r>
        <w:rPr>
          <w:rFonts w:ascii="Times New Roman" w:cs="Times New Roman" w:eastAsia="Times New Roman" w:hAnsi="Times New Roman"/>
          <w:sz w:val="18"/>
          <w:szCs w:val="18"/>
          <w:color w:val="auto"/>
        </w:rPr>
        <w:t>: On September 12, 2025, the Company completed its Initial Public Offering (“IPO”) of Class A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IPO, all then-outstanding shares of convertible preferred stock were converted into shares of Class A common stock; a dual-class common stock structure was established, consisting of Class A and Class B; and shares held by the Controlling Party were converted into Class B common stock.</w:t>
      </w:r>
    </w:p>
    <w:p>
      <w:pPr>
        <w:spacing w:after="0" w:line="1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Recombination and the IPO, refer to Note 1 in the Consolidated Financial Statements in the Company’s Annual Report on Form 10-K for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the Company completed a secondary public offering of 4,375,000 shares of its Blockchain Common Stock ("Blockchain Stock"). The transaction was structured as a synthetic secondary offering in which underwriters purchased 4,375,000 existing shares of the Company’s Class A common stock from selling stockholders and sold them to the Company. The Company then sold newly minted Blockchain Stock to the purchasers. The Company received no cash proceeds from the sale of the Blockchain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offering, the Company utilized approximately $10.0 million of cash on hand to repurchase 312,500 shares of its Class A common stock from the underwriters at the public offering price of $32.00 (the "Share Repurchase"). The shares acquired in the Share Repurchase are held in treasury. The completion of this transaction resulted in approximately a $10.0 million reduction in cash and cash equivalents and a corresponding increase in treasury stock, with no net impact on the total number of common shares issued.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for the three months ended March 31, 2026 and 2025, have been prepared in accordance with accounting principles generally accepted in the United States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the Company made all adjustments (consisting of normal, recurring and non-recurring adjustments) during the quarter that were considered necessary for the fair statement of the financial position and operating results of the Company. The Condensed Consolidated Financial Statements include the accounts of the Company and the combined wholly-owned subsidiaries over which the Company controls significant operating, financial, and investing decisions of the entity as well as those entities deemed to be variable interest entities (“VIEs”) in which the Company is determined to have a controlling financial interest.</w:t>
      </w:r>
    </w:p>
    <w:p>
      <w:pPr>
        <w:spacing w:after="0" w:line="38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reported amounts in the financial statements and accompanying notes. Actual results could differ from those estimates. In addition, the results of operations for the three months ended March 31, 2026, are not necessarily indicative of the results for the entire fiscal year ending December 31, 2026, or for any other period. Further, the balance sheet as of December 31, 2025, has been derived from the audited Consolidated Balance Sheet as of this date. There have been no material changes, other than what is discussed herein, to the Company's significant accounting policies as compared to the significant accounting policies disclosed in the Annual Report on Form 10-K for the year ended December 31, 2025. These unaudited Condensed Consolidated Financial Statements should be read in conjunction with the Consolidated Financial Statements and related notes, together with management’s discussion and analysis of financial position and results of operations, contained in the Company’s Annual Report on Form 10-K for the fiscal year ended December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Financial Statement Presentation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 Income, net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Company voluntarily elected to change its income statement presentation for net gains and losses on the change in fair value of marketable securities, and the interest income earned on marketable securities, by reclassifying them into a separate line item, “Marketable securities income, net”. Previously, these amounts were included within “Gain on sale of loans, net” and “Interest income”, respectively.</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change in classification has been applied retrospectively to all periods presented. It had no impact on the Condensed Consolidated Balance Sheets and no effect on previously reported total assets, total liabilities, equity, net income, or earnings per share for any period presented.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to the Condensed Consolidated Statements of Operations and Condensed Consolidated Statements of Cash Flows as a result of this change for the three months ended March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40" w:type="dxa"/>
            <w:vAlign w:val="bottom"/>
            <w:gridSpan w:val="6"/>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Condensed Consolidated Statements of Operations</w:t>
            </w: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00" w:type="dxa"/>
            <w:vAlign w:val="bottom"/>
          </w:tcPr>
          <w:p>
            <w:pPr>
              <w:spacing w:after="0"/>
              <w:rPr>
                <w:sz w:val="16"/>
                <w:szCs w:val="16"/>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Pr>
          <w:p>
            <w:pPr>
              <w:spacing w:after="0"/>
              <w:rPr>
                <w:sz w:val="16"/>
                <w:szCs w:val="16"/>
                <w:color w:val="auto"/>
              </w:rPr>
            </w:pPr>
          </w:p>
        </w:tc>
        <w:tc>
          <w:tcPr>
            <w:tcW w:w="12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Recast</w:t>
            </w:r>
          </w:p>
        </w:tc>
        <w:tc>
          <w:tcPr>
            <w:tcW w:w="0" w:type="dxa"/>
            <w:vAlign w:val="bottom"/>
          </w:tcPr>
          <w:p>
            <w:pPr>
              <w:spacing w:after="0"/>
              <w:rPr>
                <w:sz w:val="1"/>
                <w:szCs w:val="1"/>
                <w:color w:val="auto"/>
              </w:rPr>
            </w:pPr>
          </w:p>
        </w:tc>
      </w:tr>
      <w:tr>
        <w:trPr>
          <w:trHeight w:val="202"/>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16,606</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top w:val="single" w:sz="8" w:color="auto"/>
            </w:tcBorders>
            <w:shd w:val="clear" w:color="auto" w:fill="CCEEFF"/>
          </w:tcPr>
          <w:p>
            <w:pPr>
              <w:jc w:val="center"/>
              <w:ind w:left="868"/>
              <w:spacing w:after="0"/>
              <w:rPr>
                <w:sz w:val="20"/>
                <w:szCs w:val="20"/>
                <w:color w:val="auto"/>
              </w:rPr>
            </w:pPr>
            <w:r>
              <w:rPr>
                <w:rFonts w:ascii="Times New Roman" w:cs="Times New Roman" w:eastAsia="Times New Roman" w:hAnsi="Times New Roman"/>
                <w:sz w:val="14"/>
                <w:szCs w:val="14"/>
                <w:color w:val="auto"/>
              </w:rPr>
              <w:t>(5,382)</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11,224</w:t>
            </w:r>
          </w:p>
        </w:tc>
        <w:tc>
          <w:tcPr>
            <w:tcW w:w="0" w:type="dxa"/>
            <w:vAlign w:val="bottom"/>
          </w:tcPr>
          <w:p>
            <w:pPr>
              <w:spacing w:after="0"/>
              <w:rPr>
                <w:sz w:val="1"/>
                <w:szCs w:val="1"/>
                <w:color w:val="auto"/>
              </w:rPr>
            </w:pPr>
          </w:p>
        </w:tc>
      </w:tr>
      <w:tr>
        <w:trPr>
          <w:trHeight w:val="195"/>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2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center"/>
              <w:ind w:left="868"/>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29,792</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income, net</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ind w:left="888"/>
              <w:spacing w:after="0"/>
              <w:rPr>
                <w:sz w:val="20"/>
                <w:szCs w:val="20"/>
                <w:color w:val="auto"/>
              </w:rPr>
            </w:pPr>
            <w:r>
              <w:rPr>
                <w:rFonts w:ascii="Times New Roman" w:cs="Times New Roman" w:eastAsia="Times New Roman" w:hAnsi="Times New Roman"/>
                <w:sz w:val="14"/>
                <w:szCs w:val="14"/>
                <w:color w:val="auto"/>
              </w:rPr>
              <w:t>7,613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7,613</w:t>
            </w:r>
          </w:p>
        </w:tc>
        <w:tc>
          <w:tcPr>
            <w:tcW w:w="0" w:type="dxa"/>
            <w:vAlign w:val="bottom"/>
          </w:tcPr>
          <w:p>
            <w:pPr>
              <w:spacing w:after="0"/>
              <w:rPr>
                <w:sz w:val="1"/>
                <w:szCs w:val="1"/>
                <w:color w:val="auto"/>
              </w:rPr>
            </w:pPr>
          </w:p>
        </w:tc>
      </w:tr>
    </w:tbl>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740" w:type="dxa"/>
            <w:vAlign w:val="bottom"/>
            <w:gridSpan w:val="6"/>
          </w:tcPr>
          <w:p>
            <w:pPr>
              <w:ind w:left="12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Condensed Consolidated Statements of Cash Flows</w:t>
            </w: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0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Pr>
          <w:p>
            <w:pPr>
              <w:spacing w:after="0"/>
              <w:rPr>
                <w:sz w:val="16"/>
                <w:szCs w:val="16"/>
                <w:color w:val="auto"/>
              </w:rPr>
            </w:pPr>
          </w:p>
        </w:tc>
        <w:tc>
          <w:tcPr>
            <w:tcW w:w="128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Recast</w:t>
            </w:r>
          </w:p>
        </w:tc>
        <w:tc>
          <w:tcPr>
            <w:tcW w:w="0" w:type="dxa"/>
            <w:vAlign w:val="bottom"/>
          </w:tcPr>
          <w:p>
            <w:pPr>
              <w:spacing w:after="0"/>
              <w:rPr>
                <w:sz w:val="1"/>
                <w:szCs w:val="1"/>
                <w:color w:val="auto"/>
              </w:rPr>
            </w:pPr>
          </w:p>
        </w:tc>
      </w:tr>
      <w:tr>
        <w:trPr>
          <w:trHeight w:val="18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28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(29,792)</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fair value of marketable securities</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Deposit Liability</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the Company voluntarily elected to change its presentation of cash flow activity in connection with deposits held for customer marketplace transactions. Such activity was previously reflected within operating activities in the “Accounts payable and other liabilities” line item, and are now presented in financing activities in the “Net changes in customer deposit liabilities” line item. The amounts for the three months ended March 31, 2025 were $6.5 million. The change in presentation had no impact on the Condensed Consolidated Financial Statements, other than the reclassification of amounts within the Condensed Consolidated Statements of Cash Flows captions as described herein. The movement between customer deposit liabilities and YLDS (debt) is presented as cash payments and receipts.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payment stablecoins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voluntarily elected to change its method of accounting for payment stablecoins to classify them as cash equivalents and applied the change retrospectively. See Note 2 in the Company’s Annual Report on Form 10-K for the fiscal year ended December 31, 2025 for a description of the change in accounting principle.</w:t>
      </w:r>
    </w:p>
    <w:p>
      <w:pPr>
        <w:spacing w:after="0" w:line="36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to the Condensed Consolidated Statements of Cash Flows as a result of this change to the three months ended March 31, 2025; there was no impact to the Condensed Consolidated Statements of Cash Flows beyond the line items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7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28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59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420" w:type="dxa"/>
            <w:vAlign w:val="bottom"/>
          </w:tcPr>
          <w:p>
            <w:pPr>
              <w:spacing w:after="0"/>
              <w:rPr>
                <w:sz w:val="16"/>
                <w:szCs w:val="16"/>
                <w:color w:val="auto"/>
              </w:rPr>
            </w:pPr>
          </w:p>
        </w:tc>
        <w:tc>
          <w:tcPr>
            <w:tcW w:w="12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Recast</w:t>
            </w:r>
          </w:p>
        </w:tc>
      </w:tr>
      <w:tr>
        <w:trPr>
          <w:trHeight w:val="189"/>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r>
      <w:tr>
        <w:trPr>
          <w:trHeight w:val="195"/>
        </w:trPr>
        <w:tc>
          <w:tcPr>
            <w:tcW w:w="5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digital assets</w:t>
            </w:r>
          </w:p>
        </w:tc>
        <w:tc>
          <w:tcPr>
            <w:tcW w:w="1260" w:type="dxa"/>
            <w:vAlign w:val="bottom"/>
          </w:tcPr>
          <w:p>
            <w:pPr>
              <w:jc w:val="right"/>
              <w:ind w:right="108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(2,053)</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00" w:type="dxa"/>
            <w:vAlign w:val="bottom"/>
          </w:tcPr>
          <w:p>
            <w:pPr>
              <w:spacing w:after="0"/>
              <w:rPr>
                <w:sz w:val="16"/>
                <w:szCs w:val="16"/>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r>
      <w:tr>
        <w:trPr>
          <w:trHeight w:val="210"/>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sales of digital assets</w:t>
            </w: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Statement of Cash Flow Presentation Related to Retained Beneficial Interests in Loan Securitizations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corrected the presentation of certain retained beneficial interests in loan securitization transactions within the Condensed Consolidated Statements of Cash Flows and applied the correction retrospectively. See Note 2 in the Company’s Annual Report on Form 10-K for the fiscal year ended December 31, 2025 for a description of the correction.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impact to the Condensed Consolidated Statements of Cash Flows as a result of the correction for the three months ended March 31, 2025; there was no impact to the Condensed Consolidated Statements of Cash Flows beyond the line items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gridSpan w:val="7"/>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r>
      <w:tr>
        <w:trPr>
          <w:trHeight w:val="23"/>
        </w:trPr>
        <w:tc>
          <w:tcPr>
            <w:tcW w:w="7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As Corrected</w:t>
            </w:r>
          </w:p>
        </w:tc>
      </w:tr>
      <w:tr>
        <w:trPr>
          <w:trHeight w:val="189"/>
        </w:trPr>
        <w:tc>
          <w:tcPr>
            <w:tcW w:w="760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Operating activities:</w:t>
            </w: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r>
      <w:tr>
        <w:trPr>
          <w:trHeight w:val="195"/>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loan sales, net of repurchases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994,870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978,234</w:t>
            </w:r>
          </w:p>
        </w:tc>
      </w:tr>
      <w:tr>
        <w:trPr>
          <w:trHeight w:val="21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7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Principal payments on marketable securities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7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(140,273)</w:t>
            </w:r>
          </w:p>
        </w:tc>
      </w:tr>
      <w:tr>
        <w:trPr>
          <w:trHeight w:val="195"/>
        </w:trPr>
        <w:tc>
          <w:tcPr>
            <w:tcW w:w="76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Investing activities: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(15,161)</w:t>
            </w:r>
          </w:p>
        </w:tc>
      </w:tr>
      <w:tr>
        <w:trPr>
          <w:trHeight w:val="196"/>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Principal payments on marketable securities</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w:t>
            </w:r>
          </w:p>
        </w:tc>
      </w:tr>
      <w:tr>
        <w:trPr>
          <w:trHeight w:val="203"/>
        </w:trPr>
        <w:tc>
          <w:tcPr>
            <w:tcW w:w="7600" w:type="dxa"/>
            <w:vAlign w:val="bottom"/>
            <w:tcBorders>
              <w:top w:val="single" w:sz="8" w:color="CCEEFF"/>
            </w:tcBorders>
            <w:shd w:val="clear" w:color="auto" w:fill="CCEEFF"/>
          </w:tcPr>
          <w:p>
            <w:pPr>
              <w:ind w:left="300"/>
              <w:spacing w:after="0" w:line="202" w:lineRule="exact"/>
              <w:rPr>
                <w:sz w:val="20"/>
                <w:szCs w:val="20"/>
                <w:color w:val="auto"/>
              </w:rPr>
            </w:pPr>
            <w:r>
              <w:rPr>
                <w:rFonts w:ascii="Times New Roman" w:cs="Times New Roman" w:eastAsia="Times New Roman" w:hAnsi="Times New Roman"/>
                <w:sz w:val="14"/>
                <w:szCs w:val="14"/>
                <w:color w:val="auto"/>
              </w:rPr>
              <w:t>Net cash used in investing activities</w:t>
            </w:r>
            <w:r>
              <w:rPr>
                <w:rFonts w:ascii="Times New Roman" w:cs="Times New Roman" w:eastAsia="Times New Roman" w:hAnsi="Times New Roman"/>
                <w:sz w:val="18"/>
                <w:szCs w:val="18"/>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(16,257)</w:t>
            </w:r>
          </w:p>
        </w:tc>
      </w:tr>
      <w:tr>
        <w:trPr>
          <w:trHeight w:val="216"/>
        </w:trPr>
        <w:tc>
          <w:tcPr>
            <w:tcW w:w="7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8"/>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Marketable securities retained in securitization transactions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(16,636)</w:t>
            </w:r>
          </w:p>
        </w:tc>
      </w:tr>
    </w:tbl>
    <w:p>
      <w:pPr>
        <w:spacing w:after="0" w:line="235" w:lineRule="exact"/>
        <w:rPr>
          <w:sz w:val="20"/>
          <w:szCs w:val="20"/>
          <w:color w:val="auto"/>
        </w:rPr>
      </w:pPr>
    </w:p>
    <w:p>
      <w:pPr>
        <w:ind w:left="180" w:hanging="172"/>
        <w:spacing w:after="0" w:line="302" w:lineRule="auto"/>
        <w:tabs>
          <w:tab w:leader="none" w:pos="2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cash used in investing activities “As Corrected” represents the impact from this adjustment only and does not tie to the Condensed Consolidated Statements of Cash Flows for the three months ended March 31, 2025 as it does not include the impact from the payment stablecoin presentation change disclosed in “Change in Accounting Principle” in Note 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and reportable segment. The Company’s Chief Operating Decision Maker (“CODM”) is its Chief Executive Officer, who reviews financial information presented on a consolidated basis for purposes of making operating decisions, allocating resources, and evaluating financial performance.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evaluates performance and allocates resources using consolidated net income (loss) as reported in the Condensed Consolidated Statements of Operations. Significant expense categories and revenue streams reviewed by the CODM are presented on the face of the Condensed Consolidated Statements of Operations. The CODM does not review assets, liabilities, or capital expenditures at a more granular level; accordingly, no such disclosures are presented. Total consolidated assets are presented on the Condensed Consolidated Balance Sheets.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Substantially all of the Company’s revenues and long-lived assets are located in the United States. For the three months ended March 31, 2026, Toledo Bend Investments accounted for approximately $21.1 million, or 13%, of the Company’s total net revenue. Our diversified ecosystem of whole loan buyers and access to additional liquidity through the securitization market mitigates concentration risk related to individual purchasers of loans for which we earn revenues. No other customer accounted for more than 10% of the Company’s total net revenue for each of the respective periods or for the same periods in the prior year.</w:t>
      </w:r>
    </w:p>
    <w:p>
      <w:pPr>
        <w:spacing w:after="0" w:line="37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Note Futures Contracts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aggregate net realized and unrealized gains (losses) for derivative assets and liabilities within “Gain on sale of loans, net” in the Condensed Consolidated Statements of Operations of $4.0 million and $(4.8) million for the three months ended March 31, 2026 and 2025, respectively. Any results from the settlement of the Company derivative financial instruments are included as “Realized gains (losses) on futures” as an investing cash flow within the Condensed Consolidated Statements of Cash Flows.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derivative assets and liabilities within “Other current liabilities” and “Other current assets” in the Condensed Consolidated Balance Sheets. As of March 31, 2026 and December 31, 2025 we recorded the following balances: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00" w:type="dxa"/>
            <w:vAlign w:val="bottom"/>
          </w:tcPr>
          <w:p>
            <w:pPr>
              <w:spacing w:after="0"/>
              <w:rPr>
                <w:sz w:val="16"/>
                <w:szCs w:val="16"/>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5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asset:</w:t>
            </w:r>
          </w:p>
        </w:tc>
        <w:tc>
          <w:tcPr>
            <w:tcW w:w="4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88"/>
        </w:trPr>
        <w:tc>
          <w:tcPr>
            <w:tcW w:w="5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note futures</w:t>
            </w:r>
          </w:p>
        </w:tc>
        <w:tc>
          <w:tcPr>
            <w:tcW w:w="4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205,000</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Condensed Consolidated Balance Sheets to the total of the same amounts shown in the Condensed Consolidated Statements of Cash Flows: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1,425,754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1,159,597</w:t>
            </w:r>
          </w:p>
        </w:tc>
      </w:tr>
      <w:tr>
        <w:trPr>
          <w:trHeight w:val="195"/>
        </w:trPr>
        <w:tc>
          <w:tcPr>
            <w:tcW w:w="7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stablecoins</w:t>
            </w:r>
          </w:p>
        </w:tc>
        <w:tc>
          <w:tcPr>
            <w:tcW w:w="2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38,889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38,544</w:t>
            </w:r>
          </w:p>
        </w:tc>
      </w:tr>
      <w:tr>
        <w:trPr>
          <w:trHeight w:val="20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68,637</w:t>
            </w:r>
          </w:p>
        </w:tc>
      </w:tr>
      <w:tr>
        <w:trPr>
          <w:trHeight w:val="203"/>
        </w:trPr>
        <w:tc>
          <w:tcPr>
            <w:tcW w:w="7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1,536,590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1,266,778</w:t>
            </w: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“Accounts receivable, net” reported in the Condensed Consolidated Balance Sheets: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36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6"/>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1440" w:type="dxa"/>
            <w:vAlign w:val="bottom"/>
            <w:shd w:val="clear" w:color="auto" w:fill="CCEEFF"/>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37,446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30,627</w:t>
            </w:r>
          </w:p>
        </w:tc>
      </w:tr>
      <w:tr>
        <w:trPr>
          <w:trHeight w:val="195"/>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receivable</w:t>
            </w:r>
          </w:p>
        </w:tc>
        <w:tc>
          <w:tcPr>
            <w:tcW w:w="14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4,440</w:t>
            </w: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Subservicer receivable</w:t>
            </w:r>
            <w:r>
              <w:rPr>
                <w:rFonts w:ascii="Times New Roman" w:cs="Times New Roman" w:eastAsia="Times New Roman" w:hAnsi="Times New Roman"/>
                <w:sz w:val="18"/>
                <w:szCs w:val="18"/>
                <w:color w:val="auto"/>
                <w:vertAlign w:val="superscript"/>
              </w:rPr>
              <w:t>(A)</w:t>
            </w:r>
          </w:p>
        </w:tc>
        <w:tc>
          <w:tcPr>
            <w:tcW w:w="14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6,914</w:t>
            </w:r>
          </w:p>
        </w:tc>
      </w:tr>
      <w:tr>
        <w:trPr>
          <w:trHeight w:val="195"/>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accounts receivable</w:t>
            </w:r>
          </w:p>
        </w:tc>
        <w:tc>
          <w:tcPr>
            <w:tcW w:w="14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14,939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10,355</w:t>
            </w:r>
          </w:p>
        </w:tc>
      </w:tr>
      <w:tr>
        <w:trPr>
          <w:trHeight w:val="20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14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203"/>
        </w:trPr>
        <w:tc>
          <w:tcPr>
            <w:tcW w:w="7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440" w:type="dxa"/>
            <w:vAlign w:val="bottom"/>
            <w:tcBorders>
              <w:bottom w:val="single" w:sz="8" w:color="auto"/>
            </w:tcBorders>
          </w:tcPr>
          <w:p>
            <w:pPr>
              <w:jc w:val="right"/>
              <w:ind w:right="12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65,330</w:t>
            </w:r>
          </w:p>
        </w:tc>
        <w:tc>
          <w:tcPr>
            <w:tcW w:w="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52,016</w:t>
            </w:r>
          </w:p>
        </w:tc>
      </w:tr>
      <w:tr>
        <w:trPr>
          <w:trHeight w:val="20"/>
        </w:trPr>
        <w:tc>
          <w:tcPr>
            <w:tcW w:w="73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Subservicer receivable consists of loan principal and interest payments collected on behalf of the Company by a subservicer that have not yet been remitted to the Company.</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risk related to trade accounts receivable. In order to manage credit risk, the Company generally has the right to withhold amounts due from transaction proceeds paid to the customer. At March 31, 2026, trade accounts receivable from four customers individually accounted for approximately 28.5%, 24.2%, 16.8%, and 12.1% of trade accounts receivables. No other customer accounted for 10% or more of trade accounts receivable.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revenues are substantially comprised of ecosystem and technology fees, loan originations and sales gains or losses, interest income earned on those loans, and loan servicing.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Company’s Annual Report on Form 10-K for the fiscal year ended December 31, 2025 for the Company’s revenue recognition accounting policies.</w:t>
      </w:r>
    </w:p>
    <w:p>
      <w:pPr>
        <w:spacing w:after="0" w:line="200" w:lineRule="exact"/>
        <w:rPr>
          <w:sz w:val="20"/>
          <w:szCs w:val="20"/>
          <w:color w:val="auto"/>
        </w:rPr>
      </w:pPr>
    </w:p>
    <w:p>
      <w:pPr>
        <w:spacing w:after="0" w:line="21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“Ecosystem and technology fees” in the Condensed Consolidated 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3"/>
        </w:trPr>
        <w:tc>
          <w:tcPr>
            <w:tcW w:w="818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Technology offering fees</w:t>
            </w:r>
            <w:r>
              <w:rPr>
                <w:rFonts w:ascii="Times New Roman" w:cs="Times New Roman" w:eastAsia="Times New Roman" w:hAnsi="Times New Roman"/>
                <w:sz w:val="18"/>
                <w:szCs w:val="18"/>
                <w:color w:val="auto"/>
                <w:vertAlign w:val="superscript"/>
              </w:rPr>
              <w:t>(A)</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17,296</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7,895</w:t>
            </w:r>
          </w:p>
        </w:tc>
      </w:tr>
      <w:tr>
        <w:trPr>
          <w:trHeight w:val="203"/>
        </w:trPr>
        <w:tc>
          <w:tcPr>
            <w:tcW w:w="818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Ecosystem fees</w:t>
            </w:r>
            <w:r>
              <w:rPr>
                <w:rFonts w:ascii="Times New Roman" w:cs="Times New Roman" w:eastAsia="Times New Roman" w:hAnsi="Times New Roman"/>
                <w:sz w:val="18"/>
                <w:szCs w:val="18"/>
                <w:color w:val="auto"/>
                <w:vertAlign w:val="superscript"/>
              </w:rPr>
              <w:t>(B)</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w:t>
            </w:r>
          </w:p>
        </w:tc>
      </w:tr>
      <w:tr>
        <w:trPr>
          <w:trHeight w:val="189"/>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13,107</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Program fees</w:t>
            </w:r>
            <w:r>
              <w:rPr>
                <w:rFonts w:ascii="Times New Roman" w:cs="Times New Roman" w:eastAsia="Times New Roman" w:hAnsi="Times New Roman"/>
                <w:sz w:val="18"/>
                <w:szCs w:val="18"/>
                <w:color w:val="auto"/>
                <w:vertAlign w:val="superscript"/>
              </w:rPr>
              <w:t>(C)</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w:t>
            </w: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ecosystem and technology fees</w:t>
            </w: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47,306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15,613</w:t>
            </w:r>
          </w:p>
        </w:tc>
      </w:tr>
      <w:tr>
        <w:trPr>
          <w:trHeight w:val="21"/>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180" w:right="20" w:hanging="172"/>
        <w:spacing w:after="0" w:line="246" w:lineRule="auto"/>
        <w:tabs>
          <w:tab w:leader="none" w:pos="291"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Technology </w:t>
      </w:r>
      <w:r>
        <w:rPr>
          <w:rFonts w:ascii="Times New Roman" w:cs="Times New Roman" w:eastAsia="Times New Roman" w:hAnsi="Times New Roman"/>
          <w:sz w:val="17"/>
          <w:szCs w:val="17"/>
          <w:color w:val="auto"/>
        </w:rPr>
        <w:t>o</w:t>
      </w:r>
      <w:r>
        <w:rPr>
          <w:rFonts w:ascii="Times New Roman" w:cs="Times New Roman" w:eastAsia="Times New Roman" w:hAnsi="Times New Roman"/>
          <w:sz w:val="14"/>
          <w:szCs w:val="14"/>
          <w:color w:val="auto"/>
        </w:rPr>
        <w:t>ffering fees include fees that are accounted under ASC 606 as well as $9.7 million and $2.5 million for the three months ended March 31, 2026 and 2025, respectively, that are in the scope of ASC 310.</w:t>
      </w:r>
    </w:p>
    <w:p>
      <w:pPr>
        <w:ind w:left="180" w:hanging="172"/>
        <w:spacing w:after="0" w:line="259" w:lineRule="auto"/>
        <w:tabs>
          <w:tab w:leader="none" w:pos="249"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Ecosystem fees include fees that are accounted for under ASC 606 as well as $7.8 million and $2.5 million for the three months ended March 31, 2026 and 2025, respectively, that are in the scope of ASC 310.</w:t>
      </w:r>
    </w:p>
    <w:p>
      <w:pPr>
        <w:ind w:left="280" w:hanging="272"/>
        <w:spacing w:after="0"/>
        <w:tabs>
          <w:tab w:leader="none" w:pos="2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Program fees are not in the scope of ASC 606</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Software Costs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amortizes internally-developed software capitalized costs within “Technology and product development” expense in the Condensed Consolidated Statements of Operations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40" w:type="dxa"/>
            <w:vAlign w:val="bottom"/>
          </w:tcPr>
          <w:p>
            <w:pPr>
              <w:spacing w:after="0"/>
              <w:rPr>
                <w:sz w:val="13"/>
                <w:szCs w:val="13"/>
                <w:color w:val="auto"/>
              </w:rPr>
            </w:pPr>
          </w:p>
        </w:tc>
        <w:tc>
          <w:tcPr>
            <w:tcW w:w="1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3"/>
                <w:szCs w:val="13"/>
                <w:color w:val="auto"/>
              </w:rPr>
            </w:pPr>
          </w:p>
        </w:tc>
        <w:tc>
          <w:tcPr>
            <w:tcW w:w="152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5"/>
        </w:trPr>
        <w:tc>
          <w:tcPr>
            <w:tcW w:w="6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4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Internally developed software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110,074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101,873</w:t>
            </w:r>
          </w:p>
        </w:tc>
        <w:tc>
          <w:tcPr>
            <w:tcW w:w="0" w:type="dxa"/>
            <w:vAlign w:val="bottom"/>
          </w:tcPr>
          <w:p>
            <w:pPr>
              <w:spacing w:after="0"/>
              <w:rPr>
                <w:sz w:val="1"/>
                <w:szCs w:val="1"/>
                <w:color w:val="auto"/>
              </w:rPr>
            </w:pPr>
          </w:p>
        </w:tc>
      </w:tr>
      <w:tr>
        <w:trPr>
          <w:trHeight w:val="203"/>
        </w:trPr>
        <w:tc>
          <w:tcPr>
            <w:tcW w:w="616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Accumulated amortization</w:t>
            </w:r>
            <w:r>
              <w:rPr>
                <w:rFonts w:ascii="Times New Roman" w:cs="Times New Roman" w:eastAsia="Times New Roman" w:hAnsi="Times New Roman"/>
                <w:sz w:val="18"/>
                <w:szCs w:val="18"/>
                <w:color w:val="auto"/>
                <w:vertAlign w:val="superscript"/>
              </w:rPr>
              <w:t>(A)</w:t>
            </w:r>
          </w:p>
        </w:tc>
        <w:tc>
          <w:tcPr>
            <w:tcW w:w="14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(78,387)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(73,704)</w:t>
            </w:r>
          </w:p>
        </w:tc>
        <w:tc>
          <w:tcPr>
            <w:tcW w:w="0" w:type="dxa"/>
            <w:vAlign w:val="bottom"/>
          </w:tcPr>
          <w:p>
            <w:pPr>
              <w:spacing w:after="0"/>
              <w:rPr>
                <w:sz w:val="1"/>
                <w:szCs w:val="1"/>
                <w:color w:val="auto"/>
              </w:rPr>
            </w:pPr>
          </w:p>
        </w:tc>
      </w:tr>
      <w:tr>
        <w:trPr>
          <w:trHeight w:val="221"/>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28,169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240" w:hanging="232"/>
        <w:spacing w:after="0"/>
        <w:tabs>
          <w:tab w:leader="none" w:pos="24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amortized $4.7 million and $3.9 million of capitalized internally-developed software costs during the three months ended March 31, 2026 and 2025,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the exception of those discussed below, there have not been recent changes in accounting pronouncements issued by the FASB that are applicable to, or adopted by, the Company during the three months ended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which clarifies the applicability of interim reporting guidance, establishes a comprehensive list of interim disclosures required under GAAP, and introduces a disclosure principle requiring entities to disclose events occurring after the most recent annual reporting period that have a material impact on the entity. ASU 2025-11 also improves navigability by organizing interim disclosure requirements across the Codification and clarifies the form and content of interim financial statements, including the use of condensed statements and required accompanying notes. ASU 2025-11 is effective for interim reporting periods within annual periods beginning after December 15, 2027, for public business entities, and after December 15, 2028, for all other entities, with early adoption permitted. The Company is currently evaluating the effect of adopting ASU 2025-11 on its interim reporting disclosures.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2025, the FASB issued ASU 2025-08, </w:t>
      </w:r>
      <w:r>
        <w:rPr>
          <w:rFonts w:ascii="Times New Roman" w:cs="Times New Roman" w:eastAsia="Times New Roman" w:hAnsi="Times New Roman"/>
          <w:sz w:val="18"/>
          <w:szCs w:val="18"/>
          <w:i w:val="1"/>
          <w:iCs w:val="1"/>
          <w:color w:val="auto"/>
        </w:rPr>
        <w:t>Financial Instruments—Credit Losses (Topic 326): Purchased Loans</w:t>
      </w:r>
      <w:r>
        <w:rPr>
          <w:rFonts w:ascii="Times New Roman" w:cs="Times New Roman" w:eastAsia="Times New Roman" w:hAnsi="Times New Roman"/>
          <w:sz w:val="18"/>
          <w:szCs w:val="18"/>
          <w:color w:val="auto"/>
        </w:rPr>
        <w:t xml:space="preserve"> (“ASU 2025-08”), which introduces the concept of purchased seasoned loans and expands use of the gross-up approach to a broader population of acquired loans. Under the amendments, loans (other than credit cards) that are acquired without significant credit deterioration since origination and meet seasoning criteria are accounted for using the gross-up approach at acquisition (that is, recognition of an allowance for credit losses with a corresponding increase to amortized cost). A loan generally is considered seasoned if it is obtained more than 90 days after origination and the transferee was not involved in the loan’s origination; the guidance provides indicators for assessing involvement and excludes certain assets (such as credit cards, debt securities, and Topic 606 trade receivables) from the purchased seasoned loans category. ASU 2025-08 also clarifies related measurement and interest income guidance for purchased seasoned loans and aligns various Topics (including business combinations, consolidations, and transfers and servicing) with the new model. ASU 2025-08 is</w:t>
      </w:r>
    </w:p>
    <w:p>
      <w:pPr>
        <w:spacing w:after="0" w:line="36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for all entities for annual reporting periods beginning after December 15, 2026, and interim periods within those annual periods, and is applied prospectively to loans acquired on or after the date of initial application; early adoption is permitted in an interim or annual period for which financial statements have not yet been issued or made available for issuance. The Company is currently evaluating the effect of adopting ASU 2025-08 on its financial statements.</w:t>
      </w:r>
    </w:p>
    <w:p>
      <w:pPr>
        <w:spacing w:after="0" w:line="1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and Hedging (Topic 815) and 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Scope Refinements and Scope Clarification for a Share-Based Payment from a Customer in a Revenue Contract </w:t>
      </w:r>
      <w:r>
        <w:rPr>
          <w:rFonts w:ascii="Times New Roman" w:cs="Times New Roman" w:eastAsia="Times New Roman" w:hAnsi="Times New Roman"/>
          <w:sz w:val="18"/>
          <w:szCs w:val="18"/>
          <w:color w:val="auto"/>
        </w:rPr>
        <w:t>(“ASU 2025-07”). The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expands the population of contracts excluded from derivative accounting by excluding contracts whose underlyings are based on operations or activities specific to one of the parties to the contract. In addition, the ASU clarifies that a share-based payment received from a customer as consideration for goods or services should be accounted for under ASC 606’s share-based noncash consideration guidance, and that guidance in other topics should not be applied unless and until the entity’s right to receive or retain the share-based noncash consideration is unconditional under ASC 606. ASU 2025-07 is effective for annual periods beginning after December 15, 2026, and interim reporting periods within those annual reporting periods, with earlier adoption permitted. The Company is currently evaluating the effect of adopting ASU 2025-07 on its financial statements.</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which modernizes the accounting for software costs by removing references to prescriptive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 stages and establishing a new recognition threshold. Under ASU 2025-06, entities are required to begin capitalizing internal-use software costs once management has authorized and committed to funding the project and it is probable that the project will be completed and the software will be used as intended. In assessing the probability threshold, entities must evaluate whether significant development uncertainty exists, including unresolved technological innovations or unproven features, or whether significant performance requirements have not been identified or continue to be substantially revised. The amendments also incorporate website development cost guidance into Subtopic 350-40, require property, plant, and equipment disclosures for capitalized internal-use software costs, and eliminate duplicative intangible disclosure requirements. ASU 2025-06 is effective for all entities for annual reporting periods beginning after December 15, 2027, and interim reporting periods within those annual periods, with early adoption permitted. The Company is currently evaluating the effect of adopting ASU 2025-06 on its financial statements.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 Disaggregation of Income Statement Expenses </w:t>
      </w:r>
      <w:r>
        <w:rPr>
          <w:rFonts w:ascii="Times New Roman" w:cs="Times New Roman" w:eastAsia="Times New Roman" w:hAnsi="Times New Roman"/>
          <w:sz w:val="18"/>
          <w:szCs w:val="18"/>
          <w:color w:val="auto"/>
        </w:rPr>
        <w:t>(“ASU 2024-03”), which requires disaggregated disclosures, in the 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certain categories of 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the Company’s definition of selling expenses. ASU 2024-03 is effective for public business entities’ annual reporting periods beginning after December 15, 2026, and interim reporting periods beginning after December 15, 2027. Early adoption is permitted. The Company is currently evaluating the effect of adopting ASU 2024-03 on its disclosures.</w:t>
      </w:r>
    </w:p>
    <w:p>
      <w:pPr>
        <w:spacing w:after="0" w:line="90"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In December 2023, the FASB issued ASU 2023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For entities other than public business entities, the amendments are effective for annual periods beginning after December 15, 2025. ASU 2023-09 should be applied on a prospective basis, with retrospective application permitted. The Company is currently evaluating the effect of adopting ASU 2023-09 on its disclosures for annual reporting for the year ended December 31, 2026.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investments across three primary categories: marketable securities that represent the interests it is required to retain upon securitizing loans in transactions that are considered sales under GAAP; digital assets, in the form of cryptocurrencies or digital financial assets, held and held as collateral for personal loans; and investments in entities that the Company does not consolidate.</w:t>
      </w:r>
    </w:p>
    <w:p>
      <w:pPr>
        <w:spacing w:after="0" w:line="36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at March 31, 2026 and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Outstanding Face</w:t>
            </w:r>
          </w:p>
        </w:tc>
        <w:tc>
          <w:tcPr>
            <w:tcW w:w="120" w:type="dxa"/>
            <w:vAlign w:val="bottom"/>
          </w:tcPr>
          <w:p>
            <w:pPr>
              <w:spacing w:after="0"/>
              <w:rPr>
                <w:sz w:val="11"/>
                <w:szCs w:val="11"/>
                <w:color w:val="auto"/>
              </w:rPr>
            </w:pPr>
          </w:p>
        </w:tc>
        <w:tc>
          <w:tcPr>
            <w:tcW w:w="14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Net Fair Value</w:t>
            </w:r>
          </w:p>
        </w:tc>
        <w:tc>
          <w:tcPr>
            <w:tcW w:w="140" w:type="dxa"/>
            <w:vAlign w:val="bottom"/>
          </w:tcPr>
          <w:p>
            <w:pPr>
              <w:spacing w:after="0"/>
              <w:rPr>
                <w:sz w:val="11"/>
                <w:szCs w:val="11"/>
                <w:color w:val="auto"/>
              </w:rPr>
            </w:pPr>
          </w:p>
        </w:tc>
        <w:tc>
          <w:tcPr>
            <w:tcW w:w="13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Carrying Value</w:t>
            </w:r>
            <w:r>
              <w:rPr>
                <w:rFonts w:ascii="Times New Roman" w:cs="Times New Roman" w:eastAsia="Times New Roman" w:hAnsi="Times New Roman"/>
                <w:sz w:val="18"/>
                <w:szCs w:val="18"/>
                <w:b w:val="1"/>
                <w:bCs w:val="1"/>
                <w:color w:val="auto"/>
                <w:vertAlign w:val="superscript"/>
              </w:rPr>
              <w:t>(B)</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7"/>
              </w:rPr>
              <w:t>Amount</w:t>
            </w:r>
            <w:r>
              <w:rPr>
                <w:rFonts w:ascii="Times New Roman" w:cs="Times New Roman" w:eastAsia="Times New Roman" w:hAnsi="Times New Roman"/>
                <w:sz w:val="18"/>
                <w:szCs w:val="18"/>
                <w:b w:val="1"/>
                <w:bCs w:val="1"/>
                <w:color w:val="auto"/>
                <w:w w:val="97"/>
                <w:vertAlign w:val="superscript"/>
              </w:rPr>
              <w:t>(A)</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at fair value:</w:t>
            </w: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Investment grade debt securities</w:t>
            </w:r>
            <w:r>
              <w:rPr>
                <w:rFonts w:ascii="Times New Roman" w:cs="Times New Roman" w:eastAsia="Times New Roman" w:hAnsi="Times New Roman"/>
                <w:sz w:val="18"/>
                <w:szCs w:val="18"/>
                <w:color w:val="auto"/>
                <w:vertAlign w:val="superscript"/>
              </w:rPr>
              <w:t>(C)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231,279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231,962</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Below investment grade debt securities</w:t>
            </w:r>
            <w:r>
              <w:rPr>
                <w:rFonts w:ascii="Times New Roman" w:cs="Times New Roman" w:eastAsia="Times New Roman" w:hAnsi="Times New Roman"/>
                <w:sz w:val="18"/>
                <w:szCs w:val="18"/>
                <w:color w:val="auto"/>
                <w:vertAlign w:val="superscript"/>
              </w:rPr>
              <w:t>(D)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35,075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34,551</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Residual interest securities</w:t>
            </w:r>
            <w:r>
              <w:rPr>
                <w:rFonts w:ascii="Times New Roman" w:cs="Times New Roman" w:eastAsia="Times New Roman" w:hAnsi="Times New Roman"/>
                <w:sz w:val="18"/>
                <w:szCs w:val="18"/>
                <w:color w:val="auto"/>
                <w:vertAlign w:val="superscript"/>
              </w:rPr>
              <w:t>(E)</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32,702</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31,915</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299,056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298,428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Outstanding Face</w:t>
            </w:r>
          </w:p>
        </w:tc>
        <w:tc>
          <w:tcPr>
            <w:tcW w:w="120" w:type="dxa"/>
            <w:vAlign w:val="bottom"/>
          </w:tcPr>
          <w:p>
            <w:pPr>
              <w:spacing w:after="0"/>
              <w:rPr>
                <w:sz w:val="11"/>
                <w:szCs w:val="11"/>
                <w:color w:val="auto"/>
              </w:rPr>
            </w:pPr>
          </w:p>
        </w:tc>
        <w:tc>
          <w:tcPr>
            <w:tcW w:w="14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Net Fair Value</w:t>
            </w:r>
          </w:p>
        </w:tc>
        <w:tc>
          <w:tcPr>
            <w:tcW w:w="140" w:type="dxa"/>
            <w:vAlign w:val="bottom"/>
          </w:tcPr>
          <w:p>
            <w:pPr>
              <w:spacing w:after="0"/>
              <w:rPr>
                <w:sz w:val="11"/>
                <w:szCs w:val="11"/>
                <w:color w:val="auto"/>
              </w:rPr>
            </w:pPr>
          </w:p>
        </w:tc>
        <w:tc>
          <w:tcPr>
            <w:tcW w:w="13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Carrying Value</w:t>
            </w:r>
            <w:r>
              <w:rPr>
                <w:rFonts w:ascii="Times New Roman" w:cs="Times New Roman" w:eastAsia="Times New Roman" w:hAnsi="Times New Roman"/>
                <w:sz w:val="18"/>
                <w:szCs w:val="18"/>
                <w:b w:val="1"/>
                <w:bCs w:val="1"/>
                <w:color w:val="auto"/>
                <w:vertAlign w:val="superscript"/>
              </w:rPr>
              <w:t>(B)</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4"/>
                <w:szCs w:val="14"/>
                <w:b w:val="1"/>
                <w:bCs w:val="1"/>
                <w:color w:val="auto"/>
                <w:w w:val="97"/>
              </w:rPr>
              <w:t>Amount</w:t>
            </w:r>
            <w:r>
              <w:rPr>
                <w:rFonts w:ascii="Times New Roman" w:cs="Times New Roman" w:eastAsia="Times New Roman" w:hAnsi="Times New Roman"/>
                <w:sz w:val="18"/>
                <w:szCs w:val="18"/>
                <w:b w:val="1"/>
                <w:bCs w:val="1"/>
                <w:color w:val="auto"/>
                <w:w w:val="97"/>
                <w:vertAlign w:val="superscript"/>
              </w:rPr>
              <w:t>(A)</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 at fair value:</w:t>
            </w: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Investment grade debt securities</w:t>
            </w:r>
            <w:r>
              <w:rPr>
                <w:rFonts w:ascii="Times New Roman" w:cs="Times New Roman" w:eastAsia="Times New Roman" w:hAnsi="Times New Roman"/>
                <w:sz w:val="18"/>
                <w:szCs w:val="18"/>
                <w:color w:val="auto"/>
                <w:vertAlign w:val="superscript"/>
              </w:rPr>
              <w:t>(C)</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202,358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203,858</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Below investment grade debt securities</w:t>
            </w:r>
            <w:r>
              <w:rPr>
                <w:rFonts w:ascii="Times New Roman" w:cs="Times New Roman" w:eastAsia="Times New Roman" w:hAnsi="Times New Roman"/>
                <w:sz w:val="18"/>
                <w:szCs w:val="18"/>
                <w:color w:val="auto"/>
                <w:vertAlign w:val="superscript"/>
              </w:rPr>
              <w:t>(D)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29,127</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Residual interest securities</w:t>
            </w:r>
            <w:r>
              <w:rPr>
                <w:rFonts w:ascii="Times New Roman" w:cs="Times New Roman" w:eastAsia="Times New Roman" w:hAnsi="Times New Roman"/>
                <w:sz w:val="18"/>
                <w:szCs w:val="18"/>
                <w:color w:val="auto"/>
                <w:vertAlign w:val="superscript"/>
              </w:rPr>
              <w:t>(E)</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40,803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40,166</w:t>
            </w:r>
          </w:p>
        </w:tc>
        <w:tc>
          <w:tcPr>
            <w:tcW w:w="0" w:type="dxa"/>
            <w:vAlign w:val="bottom"/>
          </w:tcPr>
          <w:p>
            <w:pPr>
              <w:spacing w:after="0"/>
              <w:rPr>
                <w:sz w:val="1"/>
                <w:szCs w:val="1"/>
                <w:color w:val="auto"/>
              </w:rPr>
            </w:pPr>
          </w:p>
        </w:tc>
      </w:tr>
      <w:tr>
        <w:trPr>
          <w:trHeight w:val="221"/>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marketable securities,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272,809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273,151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total outstanding face amount represents the aggregate face amount of the debt securities outstanding at each period end.</w:t>
      </w:r>
    </w:p>
    <w:p>
      <w:pPr>
        <w:ind w:left="260" w:hanging="252"/>
        <w:spacing w:after="0"/>
        <w:tabs>
          <w:tab w:leader="none" w:pos="26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elected the fair value option for marketable securities; therefore, carrying value represents fair value. The total carrying value includes $263.9 million and $231.8 million of</w:t>
      </w:r>
    </w:p>
    <w:p>
      <w:pPr>
        <w:spacing w:after="0" w:line="11" w:lineRule="exact"/>
        <w:rPr>
          <w:sz w:val="20"/>
          <w:szCs w:val="20"/>
          <w:color w:val="auto"/>
        </w:rPr>
      </w:pPr>
    </w:p>
    <w:p>
      <w:pPr>
        <w:ind w:left="180"/>
        <w:spacing w:after="0" w:line="257" w:lineRule="auto"/>
        <w:rPr>
          <w:sz w:val="20"/>
          <w:szCs w:val="20"/>
          <w:color w:val="auto"/>
        </w:rPr>
      </w:pPr>
      <w:r>
        <w:rPr>
          <w:rFonts w:ascii="Times New Roman" w:cs="Times New Roman" w:eastAsia="Times New Roman" w:hAnsi="Times New Roman"/>
          <w:sz w:val="14"/>
          <w:szCs w:val="14"/>
          <w:color w:val="auto"/>
        </w:rPr>
        <w:t>debt securities collateralized under repurchase agreements at March 31, 2026 and December 31, 2025, respectively. See Notes 6 and 12 for additional information regarding the retained interest facility and valuation of the Company’s marketable securities, respectively.</w:t>
      </w:r>
    </w:p>
    <w:p>
      <w:pPr>
        <w:ind w:left="220" w:hanging="212"/>
        <w:spacing w:after="0" w:line="199" w:lineRule="auto"/>
        <w:tabs>
          <w:tab w:leader="none" w:pos="22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debt securities rated A- or above by DBRS Morningstar or comparable rating by other rating agencies.</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7" w:lineRule="auto"/>
        <w:tabs>
          <w:tab w:leader="none" w:pos="2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debt securities rated below A- by DBRS Morningstar or comparable rating by other rating agencies.</w:t>
      </w:r>
    </w:p>
    <w:p>
      <w:pPr>
        <w:ind w:left="280" w:hanging="272"/>
        <w:spacing w:after="0"/>
        <w:tabs>
          <w:tab w:leader="none" w:pos="28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residual interests and non-rated securities in securitizations that are not considered debt securities, including 24 and 20 non-rated securities with aggregate outstanding face</w:t>
      </w:r>
    </w:p>
    <w:p>
      <w:pPr>
        <w:spacing w:after="0" w:line="11" w:lineRule="exact"/>
        <w:rPr>
          <w:sz w:val="20"/>
          <w:szCs w:val="20"/>
          <w:color w:val="auto"/>
        </w:rPr>
      </w:pPr>
    </w:p>
    <w:p>
      <w:pPr>
        <w:ind w:left="180"/>
        <w:spacing w:after="0" w:line="283" w:lineRule="auto"/>
        <w:rPr>
          <w:sz w:val="20"/>
          <w:szCs w:val="20"/>
          <w:color w:val="auto"/>
        </w:rPr>
      </w:pPr>
      <w:r>
        <w:rPr>
          <w:rFonts w:ascii="Times New Roman" w:cs="Times New Roman" w:eastAsia="Times New Roman" w:hAnsi="Times New Roman"/>
          <w:sz w:val="14"/>
          <w:szCs w:val="14"/>
          <w:color w:val="auto"/>
        </w:rPr>
        <w:t>amounts of $15.5 million and $20.9 million at March 31, 2026 and December 31, 2025, respectively, and 19 and 15 interest-only securities based upon aggregate outstanding principal amounts of $17.2 million and $19.9 million at March 31, 2026 and December 31, 2025,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 Held as Collateral</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records digital assets and the corresponding liability for digital assets held as collateral at fair value, and the Company does not consider the cost basis to be meaningful. While the collateral is in the Company’s control, the Company has the ability to use the collateral for loan, margin, rehypothecation, or other similar activities to which the Company or its affiliates are a party, however, chooses not to do so without the customer’s consent and such assets are held solely for the purpose of securing the related loans. Digital assets held for collateral are included in “Digital assets” in the Condensed Consolidated Balance Sheets. The Company originates loans collateralized by digital assets and recorded a corresponding $31.1 million and $52.6 million liability at March 31, 2026 and December 31, 2025, respectively, representing the fair value of digital assets owed to the borrower in the event of loan repayment that is included in “Other current liabilities” in the Condensed Consolidated Balance Sheets.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for additional information regarding the valuation of these assets and liabilities.</w:t>
      </w:r>
    </w:p>
    <w:p>
      <w:pPr>
        <w:spacing w:after="0" w:line="200" w:lineRule="exact"/>
        <w:rPr>
          <w:sz w:val="20"/>
          <w:szCs w:val="20"/>
          <w:color w:val="auto"/>
        </w:rPr>
      </w:pPr>
    </w:p>
    <w:p>
      <w:pPr>
        <w:spacing w:after="0" w:line="21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significant digital assets held as collateral at March 31, 2026 and December 31, 2025:</w:t>
      </w:r>
    </w:p>
    <w:p>
      <w:pPr>
        <w:sectPr>
          <w:pgSz w:w="11900" w:h="16838" w:orient="portrait"/>
          <w:cols w:equalWidth="0" w:num="1">
            <w:col w:w="11240"/>
          </w:cols>
          <w:pgMar w:left="320" w:top="117" w:right="339" w:bottom="1440" w:gutter="0" w:footer="0" w:header="0"/>
        </w:sectPr>
      </w:pPr>
    </w:p>
    <w:p>
      <w:pPr>
        <w:spacing w:after="0" w:line="205"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33655</wp:posOffset>
            </wp:positionV>
            <wp:extent cx="15176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650" cy="8255"/>
                    </a:xfrm>
                    <a:prstGeom prst="rect">
                      <a:avLst/>
                    </a:prstGeom>
                    <a:noFill/>
                  </pic:spPr>
                </pic:pic>
              </a:graphicData>
            </a:graphic>
          </wp:anchor>
        </w:drawing>
      </w:r>
    </w:p>
    <w:p>
      <w:pPr>
        <w:spacing w:after="0" w:line="35" w:lineRule="exact"/>
        <w:rPr>
          <w:sz w:val="20"/>
          <w:szCs w:val="20"/>
          <w:color w:val="auto"/>
        </w:rPr>
      </w:pPr>
    </w:p>
    <w:p>
      <w:pPr>
        <w:ind w:left="6780"/>
        <w:spacing w:after="0"/>
        <w:tabs>
          <w:tab w:leader="none" w:pos="7840" w:val="left"/>
        </w:tabs>
        <w:rPr>
          <w:sz w:val="20"/>
          <w:szCs w:val="20"/>
          <w:color w:val="auto"/>
        </w:rPr>
      </w:pPr>
      <w:r>
        <w:rPr>
          <w:rFonts w:ascii="Times New Roman" w:cs="Times New Roman" w:eastAsia="Times New Roman" w:hAnsi="Times New Roman"/>
          <w:sz w:val="13"/>
          <w:szCs w:val="13"/>
          <w:b w:val="1"/>
          <w:bCs w:val="1"/>
          <w:color w:val="auto"/>
        </w:rPr>
        <w:t>Units</w:t>
      </w:r>
      <w:r>
        <w:rPr>
          <w:sz w:val="20"/>
          <w:szCs w:val="20"/>
          <w:color w:val="auto"/>
        </w:rPr>
        <w:tab/>
      </w:r>
      <w:r>
        <w:rPr>
          <w:rFonts w:ascii="Times New Roman" w:cs="Times New Roman" w:eastAsia="Times New Roman" w:hAnsi="Times New Roman"/>
          <w:sz w:val="13"/>
          <w:szCs w:val="13"/>
          <w:b w:val="1"/>
          <w:bCs w:val="1"/>
          <w:color w:val="auto"/>
        </w:rPr>
        <w:t>Fair Value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33655</wp:posOffset>
            </wp:positionV>
            <wp:extent cx="1517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3"/>
          <w:szCs w:val="13"/>
          <w:b w:val="1"/>
          <w:bCs w:val="1"/>
          <w:color w:val="auto"/>
        </w:rPr>
        <w:t>Units</w:t>
      </w:r>
      <w:r>
        <w:rPr>
          <w:sz w:val="20"/>
          <w:szCs w:val="20"/>
          <w:color w:val="auto"/>
        </w:rPr>
        <w:tab/>
      </w:r>
      <w:r>
        <w:rPr>
          <w:rFonts w:ascii="Times New Roman" w:cs="Times New Roman" w:eastAsia="Times New Roman" w:hAnsi="Times New Roman"/>
          <w:sz w:val="13"/>
          <w:szCs w:val="13"/>
          <w:b w:val="1"/>
          <w:bCs w:val="1"/>
          <w:color w:val="auto"/>
        </w:rPr>
        <w:t>Fair Value</w:t>
      </w:r>
    </w:p>
    <w:p>
      <w:pPr>
        <w:spacing w:after="0" w:line="44" w:lineRule="exact"/>
        <w:rPr>
          <w:sz w:val="20"/>
          <w:szCs w:val="20"/>
          <w:color w:val="auto"/>
        </w:rPr>
      </w:pPr>
    </w:p>
    <w:p>
      <w:pPr>
        <w:sectPr>
          <w:pgSz w:w="11900" w:h="16838" w:orient="portrait"/>
          <w:cols w:equalWidth="0" w:num="2">
            <w:col w:w="8540" w:space="720"/>
            <w:col w:w="19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Digital assets held as collateral:</w:t>
            </w:r>
          </w:p>
        </w:tc>
        <w:tc>
          <w:tcPr>
            <w:tcW w:w="1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r>
      <w:tr>
        <w:trPr>
          <w:trHeight w:val="195"/>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Bitcoin (BTC)</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46,119</w:t>
            </w:r>
          </w:p>
        </w:tc>
      </w:tr>
      <w:tr>
        <w:trPr>
          <w:trHeight w:val="21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Ethereum (ETH)</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w:t>
            </w: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2,173</w:t>
            </w: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6,450</w:t>
            </w: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digital assets held as collateral</w:t>
            </w:r>
          </w:p>
        </w:tc>
        <w:tc>
          <w:tcPr>
            <w:tcW w:w="116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52,569</w:t>
            </w:r>
          </w:p>
        </w:tc>
      </w:tr>
      <w:tr>
        <w:trPr>
          <w:trHeight w:val="21"/>
        </w:trPr>
        <w:tc>
          <w:tcPr>
            <w:tcW w:w="6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engages a third party custodian to hold digital assets as collateral in an account in the Company’s name, and provide custodial services including holding the cryptographic key information and working to protect the digital assets from loss or theft. The Company maintains internal recordkeeping of the digital asset collateral, including the amount and type of digital asset owned by each borrower.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 Held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Assets Held at Fair Value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digital assets held at fair value in both “Digital assets” and “Digital assets, non-current” in the Condensed Consolidated Balance Sheets, depending on the nature of the underlying asset and related restrictions. See Notes 2 and 12 for additional information regarding the classification and valuation of these assets.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digital assets held at fair value by the Company, and by third-party custodians on behalf of the Company, at March 31, 2026 and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336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3360" w:type="dxa"/>
            <w:vAlign w:val="bottom"/>
          </w:tcPr>
          <w:p>
            <w:pPr>
              <w:spacing w:after="0"/>
              <w:rPr>
                <w:sz w:val="16"/>
                <w:szCs w:val="16"/>
                <w:color w:val="auto"/>
              </w:rPr>
            </w:pP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00" w:type="dxa"/>
            <w:vAlign w:val="bottom"/>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9"/>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Digital assets held at fair value:</w:t>
            </w:r>
          </w:p>
        </w:tc>
        <w:tc>
          <w:tcPr>
            <w:tcW w:w="1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r>
      <w:tr>
        <w:trPr>
          <w:trHeight w:val="203"/>
        </w:trPr>
        <w:tc>
          <w:tcPr>
            <w:tcW w:w="33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Solana (SOL)</w:t>
            </w:r>
            <w:r>
              <w:rPr>
                <w:rFonts w:ascii="Times New Roman" w:cs="Times New Roman" w:eastAsia="Times New Roman" w:hAnsi="Times New Roman"/>
                <w:sz w:val="18"/>
                <w:szCs w:val="18"/>
                <w:color w:val="auto"/>
                <w:vertAlign w:val="superscript"/>
              </w:rPr>
              <w:t>(A)</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92,343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11,053</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87,707</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10,731</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10,918</w:t>
            </w:r>
          </w:p>
        </w:tc>
      </w:tr>
      <w:tr>
        <w:trPr>
          <w:trHeight w:val="20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States Dollar Tether (USDT)</w:t>
            </w: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1,044,053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958,734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r>
      <w:tr>
        <w:trPr>
          <w:trHeight w:val="195"/>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Kamino Liquidity Pools</w:t>
            </w:r>
          </w:p>
        </w:tc>
        <w:tc>
          <w:tcPr>
            <w:tcW w:w="13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Various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23,645</w:t>
            </w:r>
          </w:p>
        </w:tc>
        <w:tc>
          <w:tcPr>
            <w:tcW w:w="100" w:type="dxa"/>
            <w:vAlign w:val="bottom"/>
          </w:tcPr>
          <w:p>
            <w:pPr>
              <w:spacing w:after="0"/>
              <w:rPr>
                <w:sz w:val="16"/>
                <w:szCs w:val="16"/>
                <w:color w:val="auto"/>
              </w:rPr>
            </w:pPr>
          </w:p>
        </w:tc>
        <w:tc>
          <w:tcPr>
            <w:tcW w:w="132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Various</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23,510</w:t>
            </w:r>
          </w:p>
        </w:tc>
      </w:tr>
      <w:tr>
        <w:trPr>
          <w:trHeight w:val="21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digital assets</w:t>
            </w:r>
            <w:r>
              <w:rPr>
                <w:rFonts w:ascii="Times New Roman" w:cs="Times New Roman" w:eastAsia="Times New Roman" w:hAnsi="Times New Roman"/>
                <w:sz w:val="18"/>
                <w:szCs w:val="18"/>
                <w:color w:val="auto"/>
                <w:vertAlign w:val="superscript"/>
              </w:rPr>
              <w:t>(B)</w:t>
            </w:r>
          </w:p>
        </w:tc>
        <w:tc>
          <w:tcPr>
            <w:tcW w:w="13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Various</w:t>
            </w: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Various</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w:t>
            </w: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digital assets held at fair value</w:t>
            </w: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36,833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33,253</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35,650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35,942</w:t>
            </w:r>
          </w:p>
        </w:tc>
      </w:tr>
      <w:tr>
        <w:trPr>
          <w:trHeight w:val="21"/>
        </w:trPr>
        <w:tc>
          <w:tcPr>
            <w:tcW w:w="3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80" w:hanging="172"/>
        <w:spacing w:after="0" w:line="271" w:lineRule="auto"/>
        <w:tabs>
          <w:tab w:leader="none" w:pos="254"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47,698 Solana (“SOL”) at March 31, 2026 that are subject to a lock-up period through January 2028 and unlocked on a monthly basis based on a contractual schedule. The locked tokens are not accessible, are staked, and earn rewards during the lock up period.</w:t>
      </w:r>
    </w:p>
    <w:p>
      <w:pPr>
        <w:ind w:left="220" w:hanging="212"/>
        <w:spacing w:after="0" w:line="192" w:lineRule="auto"/>
        <w:tabs>
          <w:tab w:leader="none" w:pos="2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various other digital asset balances, none of which individually represented more than 5% of the fair value of total digital assets held at fair value.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Assets Held at Cost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records digital assets held at cost, net of impairment, in “Digital assets” in the Condensed Consolidated Balance Sheets. The following table summarizes digital assets held at cost by the Company, and by third-party custodians on behalf of the Company, at March 31, 2026 and December 31,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3280" w:type="dxa"/>
            <w:vAlign w:val="bottom"/>
          </w:tcPr>
          <w:p>
            <w:pPr>
              <w:spacing w:after="0"/>
              <w:rPr>
                <w:sz w:val="16"/>
                <w:szCs w:val="16"/>
                <w:color w:val="auto"/>
              </w:rPr>
            </w:pP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6"/>
                <w:szCs w:val="16"/>
                <w:color w:val="auto"/>
              </w:rPr>
            </w:pPr>
          </w:p>
        </w:tc>
        <w:tc>
          <w:tcPr>
            <w:tcW w:w="12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80" w:type="dxa"/>
            <w:vAlign w:val="bottom"/>
          </w:tcPr>
          <w:p>
            <w:pPr>
              <w:spacing w:after="0"/>
              <w:rPr>
                <w:sz w:val="16"/>
                <w:szCs w:val="16"/>
                <w:color w:val="auto"/>
              </w:rPr>
            </w:pPr>
          </w:p>
        </w:tc>
        <w:tc>
          <w:tcPr>
            <w:tcW w:w="13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8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Digital assets held at cost:</w:t>
            </w: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02"/>
        </w:trPr>
        <w:tc>
          <w:tcPr>
            <w:tcW w:w="3280" w:type="dxa"/>
            <w:vAlign w:val="bottom"/>
            <w:tcBorders>
              <w:bottom w:val="single" w:sz="8" w:color="CCEEFF"/>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HASH</w:t>
            </w:r>
            <w:r>
              <w:rPr>
                <w:rFonts w:ascii="Times New Roman" w:cs="Times New Roman" w:eastAsia="Times New Roman" w:hAnsi="Times New Roman"/>
                <w:sz w:val="18"/>
                <w:szCs w:val="18"/>
                <w:color w:val="auto"/>
                <w:vertAlign w:val="superscript"/>
              </w:rPr>
              <w:t>(A)</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19,846,262,501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11,883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11,883</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19,873,741,886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11,691</w:t>
            </w:r>
          </w:p>
        </w:tc>
      </w:tr>
      <w:tr>
        <w:trPr>
          <w:trHeight w:val="221"/>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digital assets held at cost</w:t>
            </w: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11,883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11,883</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11,691</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80" w:right="20" w:hanging="172"/>
        <w:spacing w:after="0" w:line="302" w:lineRule="auto"/>
        <w:tabs>
          <w:tab w:leader="none" w:pos="268"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native utility tokens used by the Company as a medium of exchange (“HASH”), maintained by an affiliated entity. See Note 11 for additional information regarding the related party relationship.</w:t>
      </w:r>
    </w:p>
    <w:p>
      <w:pPr>
        <w:spacing w:after="0" w:line="35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Assets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activities involving the Company’s digital assets for the three months ended March 31, 2026 and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Held as Collateral</w:t>
            </w:r>
          </w:p>
        </w:tc>
        <w:tc>
          <w:tcPr>
            <w:tcW w:w="18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Held at Fair Value</w:t>
            </w:r>
            <w:r>
              <w:rPr>
                <w:rFonts w:ascii="Times New Roman" w:cs="Times New Roman" w:eastAsia="Times New Roman" w:hAnsi="Times New Roman"/>
                <w:sz w:val="18"/>
                <w:szCs w:val="18"/>
                <w:b w:val="1"/>
                <w:bCs w:val="1"/>
                <w:color w:val="auto"/>
                <w:vertAlign w:val="superscript"/>
              </w:rPr>
              <w:t>(A)</w:t>
            </w:r>
          </w:p>
        </w:tc>
        <w:tc>
          <w:tcPr>
            <w:tcW w:w="300" w:type="dxa"/>
            <w:vAlign w:val="bottom"/>
          </w:tcPr>
          <w:p>
            <w:pPr>
              <w:spacing w:after="0"/>
              <w:rPr>
                <w:sz w:val="18"/>
                <w:szCs w:val="18"/>
                <w:color w:val="auto"/>
              </w:rPr>
            </w:pPr>
          </w:p>
        </w:tc>
        <w:tc>
          <w:tcPr>
            <w:tcW w:w="15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Held at Cost</w:t>
            </w:r>
          </w:p>
        </w:tc>
      </w:tr>
      <w:tr>
        <w:trPr>
          <w:trHeight w:val="196"/>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r>
      <w:tr>
        <w:trPr>
          <w:trHeight w:val="203"/>
        </w:trPr>
        <w:tc>
          <w:tcPr>
            <w:tcW w:w="558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Purchases</w:t>
            </w:r>
            <w:r>
              <w:rPr>
                <w:rFonts w:ascii="Times New Roman" w:cs="Times New Roman" w:eastAsia="Times New Roman" w:hAnsi="Times New Roman"/>
                <w:sz w:val="18"/>
                <w:szCs w:val="18"/>
                <w:color w:val="auto"/>
                <w:vertAlign w:val="superscript"/>
              </w:rPr>
              <w:t>(B)</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Sales</w:t>
            </w:r>
            <w:r>
              <w:rPr>
                <w:rFonts w:ascii="Times New Roman" w:cs="Times New Roman" w:eastAsia="Times New Roman" w:hAnsi="Times New Roman"/>
                <w:sz w:val="18"/>
                <w:szCs w:val="18"/>
                <w:color w:val="auto"/>
                <w:vertAlign w:val="superscript"/>
              </w:rPr>
              <w:t>(C)</w:t>
            </w:r>
          </w:p>
        </w:tc>
        <w:tc>
          <w:tcPr>
            <w:tcW w:w="2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8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Collateral received</w:t>
            </w:r>
            <w:r>
              <w:rPr>
                <w:rFonts w:ascii="Times New Roman" w:cs="Times New Roman" w:eastAsia="Times New Roman" w:hAnsi="Times New Roman"/>
                <w:sz w:val="18"/>
                <w:szCs w:val="18"/>
                <w:color w:val="auto"/>
                <w:vertAlign w:val="superscript"/>
              </w:rPr>
              <w:t>(D)</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Collateral returned</w:t>
            </w:r>
            <w:r>
              <w:rPr>
                <w:rFonts w:ascii="Times New Roman" w:cs="Times New Roman" w:eastAsia="Times New Roman" w:hAnsi="Times New Roman"/>
                <w:sz w:val="18"/>
                <w:szCs w:val="18"/>
                <w:color w:val="auto"/>
                <w:vertAlign w:val="superscript"/>
              </w:rPr>
              <w:t>(D)</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8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Gains</w:t>
            </w:r>
            <w:r>
              <w:rPr>
                <w:rFonts w:ascii="Times New Roman" w:cs="Times New Roman" w:eastAsia="Times New Roman" w:hAnsi="Times New Roman"/>
                <w:sz w:val="18"/>
                <w:szCs w:val="18"/>
                <w:color w:val="auto"/>
                <w:vertAlign w:val="superscript"/>
              </w:rPr>
              <w:t>(E)</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Distributions from Fund I</w:t>
            </w:r>
            <w:r>
              <w:rPr>
                <w:rFonts w:ascii="Times New Roman" w:cs="Times New Roman" w:eastAsia="Times New Roman" w:hAnsi="Times New Roman"/>
                <w:sz w:val="18"/>
                <w:szCs w:val="18"/>
                <w:color w:val="auto"/>
                <w:vertAlign w:val="superscript"/>
              </w:rPr>
              <w:t>(F)</w:t>
            </w:r>
          </w:p>
        </w:tc>
        <w:tc>
          <w:tcPr>
            <w:tcW w:w="2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80" w:type="dxa"/>
            <w:vAlign w:val="bottom"/>
            <w:tcBorders>
              <w:bottom w:val="single" w:sz="8" w:color="CCEEFF"/>
            </w:tcBorders>
          </w:tcPr>
          <w:p>
            <w:pPr>
              <w:ind w:left="180"/>
              <w:spacing w:after="0" w:line="202" w:lineRule="exact"/>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8"/>
                <w:szCs w:val="18"/>
                <w:color w:val="auto"/>
                <w:vertAlign w:val="superscript"/>
              </w:rPr>
              <w:t>(G)</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59,842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11,691</w:t>
            </w:r>
          </w:p>
        </w:tc>
      </w:tr>
      <w:tr>
        <w:trPr>
          <w:trHeight w:val="203"/>
        </w:trPr>
        <w:tc>
          <w:tcPr>
            <w:tcW w:w="558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Purchases</w:t>
            </w:r>
            <w:r>
              <w:rPr>
                <w:rFonts w:ascii="Times New Roman" w:cs="Times New Roman" w:eastAsia="Times New Roman" w:hAnsi="Times New Roman"/>
                <w:sz w:val="18"/>
                <w:szCs w:val="18"/>
                <w:color w:val="auto"/>
                <w:vertAlign w:val="superscript"/>
              </w:rPr>
              <w:t>(B)</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r>
      <w:tr>
        <w:trPr>
          <w:trHeight w:val="203"/>
        </w:trPr>
        <w:tc>
          <w:tcPr>
            <w:tcW w:w="55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Sales</w:t>
            </w:r>
            <w:r>
              <w:rPr>
                <w:rFonts w:ascii="Times New Roman" w:cs="Times New Roman" w:eastAsia="Times New Roman" w:hAnsi="Times New Roman"/>
                <w:sz w:val="18"/>
                <w:szCs w:val="18"/>
                <w:color w:val="auto"/>
                <w:vertAlign w:val="superscript"/>
              </w:rPr>
              <w:t>(C)</w:t>
            </w:r>
          </w:p>
        </w:tc>
        <w:tc>
          <w:tcPr>
            <w:tcW w:w="2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r>
      <w:tr>
        <w:trPr>
          <w:trHeight w:val="203"/>
        </w:trPr>
        <w:tc>
          <w:tcPr>
            <w:tcW w:w="558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Collateral received</w:t>
            </w:r>
            <w:r>
              <w:rPr>
                <w:rFonts w:ascii="Times New Roman" w:cs="Times New Roman" w:eastAsia="Times New Roman" w:hAnsi="Times New Roman"/>
                <w:sz w:val="18"/>
                <w:szCs w:val="18"/>
                <w:color w:val="auto"/>
                <w:vertAlign w:val="superscript"/>
              </w:rPr>
              <w:t>(D)</w:t>
            </w:r>
          </w:p>
        </w:tc>
        <w:tc>
          <w:tcPr>
            <w:tcW w:w="2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Collateral returned</w:t>
            </w:r>
            <w:r>
              <w:rPr>
                <w:rFonts w:ascii="Times New Roman" w:cs="Times New Roman" w:eastAsia="Times New Roman" w:hAnsi="Times New Roman"/>
                <w:sz w:val="18"/>
                <w:szCs w:val="18"/>
                <w:color w:val="auto"/>
                <w:vertAlign w:val="superscript"/>
              </w:rPr>
              <w:t>(D)</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80" w:type="dxa"/>
            <w:vAlign w:val="bottom"/>
          </w:tcPr>
          <w:p>
            <w:pPr>
              <w:ind w:left="180"/>
              <w:spacing w:after="0" w:line="202" w:lineRule="exact"/>
              <w:rPr>
                <w:sz w:val="20"/>
                <w:szCs w:val="20"/>
                <w:color w:val="auto"/>
              </w:rPr>
            </w:pPr>
            <w:r>
              <w:rPr>
                <w:rFonts w:ascii="Times New Roman" w:cs="Times New Roman" w:eastAsia="Times New Roman" w:hAnsi="Times New Roman"/>
                <w:sz w:val="14"/>
                <w:szCs w:val="14"/>
                <w:color w:val="auto"/>
              </w:rPr>
              <w:t>Gains</w:t>
            </w:r>
            <w:r>
              <w:rPr>
                <w:rFonts w:ascii="Times New Roman" w:cs="Times New Roman" w:eastAsia="Times New Roman" w:hAnsi="Times New Roman"/>
                <w:sz w:val="18"/>
                <w:szCs w:val="18"/>
                <w:color w:val="auto"/>
                <w:vertAlign w:val="superscript"/>
              </w:rPr>
              <w:t>(E)</w:t>
            </w:r>
          </w:p>
        </w:tc>
        <w:tc>
          <w:tcPr>
            <w:tcW w:w="220" w:type="dxa"/>
            <w:vAlign w:val="bottom"/>
          </w:tcPr>
          <w:p>
            <w:pPr>
              <w:spacing w:after="0"/>
              <w:rPr>
                <w:sz w:val="17"/>
                <w:szCs w:val="17"/>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Distributions from Fund I</w:t>
            </w:r>
            <w:r>
              <w:rPr>
                <w:rFonts w:ascii="Times New Roman" w:cs="Times New Roman" w:eastAsia="Times New Roman" w:hAnsi="Times New Roman"/>
                <w:sz w:val="18"/>
                <w:szCs w:val="18"/>
                <w:color w:val="auto"/>
                <w:vertAlign w:val="superscript"/>
              </w:rPr>
              <w:t>(F)</w:t>
            </w:r>
          </w:p>
        </w:tc>
        <w:tc>
          <w:tcPr>
            <w:tcW w:w="2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5580" w:type="dxa"/>
            <w:vAlign w:val="bottom"/>
            <w:tcBorders>
              <w:bottom w:val="single" w:sz="8" w:color="CCEEFF"/>
            </w:tcBorders>
          </w:tcPr>
          <w:p>
            <w:pPr>
              <w:ind w:left="180"/>
              <w:spacing w:after="0" w:line="202" w:lineRule="exact"/>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8"/>
                <w:szCs w:val="18"/>
                <w:color w:val="auto"/>
                <w:vertAlign w:val="superscript"/>
              </w:rPr>
              <w:t>(G)</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(11,590)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33,253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11,883</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left="180" w:hanging="172"/>
        <w:spacing w:after="0" w:line="233" w:lineRule="auto"/>
        <w:tabs>
          <w:tab w:leader="none" w:pos="196"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Period activity for the three months ended March 31, 2025 has been recast to reflect the reclassification of payment stablecoins from “Digital assets” to “Cash and cash equivalents”. This change resulted in a $(0.4) million change to Purchases activity and a $0.3 million change to Sales activity for the three months ended March 31, 2025. See Note 2, Change in Accounting Principle, for further details.</w:t>
      </w:r>
    </w:p>
    <w:p>
      <w:pPr>
        <w:spacing w:after="0" w:line="1" w:lineRule="exact"/>
        <w:rPr>
          <w:rFonts w:ascii="Times New Roman" w:cs="Times New Roman" w:eastAsia="Times New Roman" w:hAnsi="Times New Roman"/>
          <w:sz w:val="19"/>
          <w:szCs w:val="19"/>
          <w:color w:val="auto"/>
          <w:vertAlign w:val="superscript"/>
        </w:rPr>
      </w:pPr>
    </w:p>
    <w:p>
      <w:pPr>
        <w:ind w:left="160" w:hanging="152"/>
        <w:spacing w:after="0" w:line="215" w:lineRule="auto"/>
        <w:tabs>
          <w:tab w:leader="none" w:pos="16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receipts of digital assets held resulting from the disbursement of cash.</w:t>
      </w:r>
    </w:p>
    <w:p>
      <w:pPr>
        <w:spacing w:after="0" w:line="3" w:lineRule="exact"/>
        <w:rPr>
          <w:rFonts w:ascii="Times New Roman" w:cs="Times New Roman" w:eastAsia="Times New Roman" w:hAnsi="Times New Roman"/>
          <w:sz w:val="17"/>
          <w:szCs w:val="17"/>
          <w:color w:val="auto"/>
          <w:vertAlign w:val="superscript"/>
        </w:rPr>
      </w:pPr>
    </w:p>
    <w:p>
      <w:pPr>
        <w:ind w:left="160" w:hanging="152"/>
        <w:spacing w:after="0" w:line="211" w:lineRule="auto"/>
        <w:tabs>
          <w:tab w:leader="none" w:pos="16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transactions related to the settlement and transfer of digital assets held in exchange for the receipt of cash.</w:t>
      </w:r>
    </w:p>
    <w:p>
      <w:pPr>
        <w:spacing w:after="0" w:line="3" w:lineRule="exact"/>
        <w:rPr>
          <w:rFonts w:ascii="Times New Roman" w:cs="Times New Roman" w:eastAsia="Times New Roman" w:hAnsi="Times New Roman"/>
          <w:sz w:val="17"/>
          <w:szCs w:val="17"/>
          <w:color w:val="auto"/>
          <w:vertAlign w:val="superscript"/>
        </w:rPr>
      </w:pPr>
    </w:p>
    <w:p>
      <w:pPr>
        <w:ind w:left="180" w:hanging="172"/>
        <w:spacing w:after="0" w:line="232" w:lineRule="auto"/>
        <w:tabs>
          <w:tab w:leader="none" w:pos="171"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Collateral received and returned includes movements impacting digital assets held as collateral associated with borrower personal loan activities which can include receipt of digital assets held as collateral related to loan originations, combined loan to value maintenance, and returns of collateral owed to the borrower once a loan has been repaid.</w:t>
      </w:r>
    </w:p>
    <w:p>
      <w:pPr>
        <w:jc w:val="both"/>
        <w:ind w:left="180" w:hanging="172"/>
        <w:spacing w:after="0" w:line="261" w:lineRule="auto"/>
        <w:tabs>
          <w:tab w:leader="none" w:pos="161"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realized gains incurred on the sale of digital assets held for sale, and the recognition of income associated to blockchain staking rewards which are reflected in “Other expense, net” in the Condensed Consolidated Statements of Operations. No realized gains were recorded for digital assets held as collateral, as the liquidation of collateral reduces the corresponding liability and cash proceeds are applied to the borrower’s personal loan balance.</w:t>
      </w:r>
    </w:p>
    <w:p>
      <w:pPr>
        <w:spacing w:after="0" w:line="1" w:lineRule="exact"/>
        <w:rPr>
          <w:rFonts w:ascii="Times New Roman" w:cs="Times New Roman" w:eastAsia="Times New Roman" w:hAnsi="Times New Roman"/>
          <w:sz w:val="9"/>
          <w:szCs w:val="9"/>
          <w:color w:val="auto"/>
        </w:rPr>
      </w:pPr>
    </w:p>
    <w:p>
      <w:pPr>
        <w:ind w:left="160" w:hanging="152"/>
        <w:spacing w:after="0" w:line="191" w:lineRule="auto"/>
        <w:tabs>
          <w:tab w:leader="none" w:pos="16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distributions of digital assets received from SOL Opportunity Fund L.P. (“Domestic Solana Fund”), a domestic fund that invests primarily in SOL.</w:t>
      </w:r>
    </w:p>
    <w:p>
      <w:pPr>
        <w:jc w:val="both"/>
        <w:ind w:left="180" w:hanging="172"/>
        <w:spacing w:after="0" w:line="270" w:lineRule="auto"/>
        <w:tabs>
          <w:tab w:leader="none" w:pos="171" w:val="left"/>
        </w:tabs>
        <w:numPr>
          <w:ilvl w:val="0"/>
          <w:numId w:val="1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There is a corresponding liability to return digital assets held as collateral that is an embedded derivative. The embedded derivative and the host contract are reported within “Other current liabilities” on the Condensed Consolidated Balance Sheets. The change in the fair value of the embedded derivative and the change in the digital assets held as collateral have a naturally offsetting relationship and are recorded within “Other expense, net” on the Condensed Consolidated Statements of Operations.</w:t>
      </w:r>
    </w:p>
    <w:p>
      <w:pPr>
        <w:spacing w:after="0" w:line="20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18</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holds the following minority investments in certain entities not considered significant to the Company and recorded within “Other non-current assets” in the Condensed Consolidated Balance Sheets, with the Company’s share of net income of equity-method investees recorded as “Other revenue” in the Condensed Consolidated Statements of Operations. The following table presents the carrying value of these investments at March 31, 2026 and December 31,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58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6"/>
        </w:trPr>
        <w:tc>
          <w:tcPr>
            <w:tcW w:w="5860" w:type="dxa"/>
            <w:vAlign w:val="bottom"/>
            <w:shd w:val="clear" w:color="auto" w:fill="CCEEFF"/>
          </w:tcPr>
          <w:p>
            <w:pPr>
              <w:spacing w:after="0"/>
              <w:rPr>
                <w:sz w:val="17"/>
                <w:szCs w:val="17"/>
                <w:color w:val="auto"/>
              </w:rPr>
            </w:pPr>
          </w:p>
        </w:tc>
        <w:tc>
          <w:tcPr>
            <w:tcW w:w="2340" w:type="dxa"/>
            <w:vAlign w:val="bottom"/>
            <w:gridSpan w:val="3"/>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Equity Interest</w:t>
            </w:r>
          </w:p>
        </w:tc>
        <w:tc>
          <w:tcPr>
            <w:tcW w:w="126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Investment</w:t>
            </w:r>
          </w:p>
        </w:tc>
      </w:tr>
      <w:tr>
        <w:trPr>
          <w:trHeight w:val="175"/>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investees:</w:t>
            </w:r>
          </w:p>
        </w:tc>
        <w:tc>
          <w:tcPr>
            <w:tcW w:w="1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1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Domestic Solana Fund</w:t>
            </w:r>
          </w:p>
        </w:tc>
        <w:tc>
          <w:tcPr>
            <w:tcW w:w="23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4.8 %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2,104</w:t>
            </w:r>
          </w:p>
        </w:tc>
      </w:tr>
      <w:tr>
        <w:trPr>
          <w:trHeight w:val="19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Reflow Services, LLC</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210"/>
        </w:trPr>
        <w:tc>
          <w:tcPr>
            <w:tcW w:w="5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Fig SIX Mortgage, LLC</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w:t>
            </w:r>
          </w:p>
        </w:tc>
      </w:tr>
      <w:tr>
        <w:trPr>
          <w:trHeight w:val="203"/>
        </w:trPr>
        <w:tc>
          <w:tcPr>
            <w:tcW w:w="58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Evergreen Funds</w:t>
            </w:r>
            <w:r>
              <w:rPr>
                <w:rFonts w:ascii="Times New Roman" w:cs="Times New Roman" w:eastAsia="Times New Roman" w:hAnsi="Times New Roman"/>
                <w:sz w:val="18"/>
                <w:szCs w:val="18"/>
                <w:color w:val="auto"/>
                <w:vertAlign w:val="superscript"/>
              </w:rPr>
              <w:t>(A)</w:t>
            </w:r>
          </w:p>
        </w:tc>
        <w:tc>
          <w:tcPr>
            <w:tcW w:w="23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color w:val="auto"/>
              </w:rPr>
              <w:t>(A)</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8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equity method investments</w:t>
            </w:r>
          </w:p>
        </w:tc>
        <w:tc>
          <w:tcPr>
            <w:tcW w:w="1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5,381</w:t>
            </w:r>
          </w:p>
        </w:tc>
      </w:tr>
      <w:tr>
        <w:trPr>
          <w:trHeight w:val="196"/>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Measurement alternative investments</w:t>
            </w:r>
          </w:p>
        </w:tc>
        <w:tc>
          <w:tcPr>
            <w:tcW w:w="1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w:t>
            </w:r>
          </w:p>
        </w:tc>
      </w:tr>
      <w:tr>
        <w:trPr>
          <w:trHeight w:val="22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equity investments</w:t>
            </w: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right="20" w:hanging="172"/>
        <w:spacing w:after="0" w:line="221" w:lineRule="auto"/>
        <w:tabs>
          <w:tab w:leader="none" w:pos="184"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Evergreen Funds represent the Company’s 33.3% and 55% interest in VS Evergreen Fund GP LLC and VS Evergreen Financing Fund LP, respectively. The Company does not consolidate the Evergreen Funds as the Company is not the primary beneficiary.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activities involving the Company’s equity investments: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 Method</w:t>
            </w: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Alternative</w:t>
            </w:r>
          </w:p>
        </w:tc>
        <w:tc>
          <w:tcPr>
            <w:tcW w:w="340" w:type="dxa"/>
            <w:vAlign w:val="bottom"/>
          </w:tcPr>
          <w:p>
            <w:pPr>
              <w:spacing w:after="0"/>
              <w:rPr>
                <w:sz w:val="12"/>
                <w:szCs w:val="12"/>
                <w:color w:val="auto"/>
              </w:rPr>
            </w:pPr>
          </w:p>
        </w:tc>
        <w:tc>
          <w:tcPr>
            <w:tcW w:w="1140" w:type="dxa"/>
            <w:vAlign w:val="bottom"/>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8,210</w:t>
            </w:r>
          </w:p>
        </w:tc>
        <w:tc>
          <w:tcPr>
            <w:tcW w:w="0" w:type="dxa"/>
            <w:vAlign w:val="bottom"/>
          </w:tcPr>
          <w:p>
            <w:pPr>
              <w:spacing w:after="0"/>
              <w:rPr>
                <w:sz w:val="1"/>
                <w:szCs w:val="1"/>
                <w:color w:val="auto"/>
              </w:rPr>
            </w:pPr>
          </w:p>
        </w:tc>
      </w:tr>
      <w:tr>
        <w:trPr>
          <w:trHeight w:val="195"/>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 of investee earnings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received</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0" w:type="dxa"/>
            <w:vAlign w:val="bottom"/>
          </w:tcPr>
          <w:p>
            <w:pPr>
              <w:spacing w:after="0"/>
              <w:rPr>
                <w:sz w:val="1"/>
                <w:szCs w:val="1"/>
                <w:color w:val="auto"/>
              </w:rPr>
            </w:pPr>
          </w:p>
        </w:tc>
      </w:tr>
      <w:tr>
        <w:trPr>
          <w:trHeight w:val="195"/>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Contributions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Measurement alternative adjustments</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5,381</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 of investee earnings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195"/>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received</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Contributions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10,752</w:t>
            </w:r>
          </w:p>
        </w:tc>
        <w:tc>
          <w:tcPr>
            <w:tcW w:w="0" w:type="dxa"/>
            <w:vAlign w:val="bottom"/>
          </w:tcPr>
          <w:p>
            <w:pPr>
              <w:spacing w:after="0"/>
              <w:rPr>
                <w:sz w:val="1"/>
                <w:szCs w:val="1"/>
                <w:color w:val="auto"/>
              </w:rPr>
            </w:pPr>
          </w:p>
        </w:tc>
      </w:tr>
      <w:tr>
        <w:trPr>
          <w:trHeight w:val="196"/>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Measurement alternative adjustments</w:t>
            </w:r>
          </w:p>
        </w:tc>
        <w:tc>
          <w:tcPr>
            <w:tcW w:w="180" w:type="dxa"/>
            <w:vAlign w:val="bottom"/>
          </w:tcPr>
          <w:p>
            <w:pPr>
              <w:spacing w:after="0"/>
              <w:rPr>
                <w:sz w:val="17"/>
                <w:szCs w:val="17"/>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SERVICING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servicing assets at March 31, 2026 and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UPB of Underlying</w:t>
            </w:r>
          </w:p>
        </w:tc>
        <w:tc>
          <w:tcPr>
            <w:tcW w:w="14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Loan Count</w:t>
            </w:r>
          </w:p>
        </w:tc>
        <w:tc>
          <w:tcPr>
            <w:tcW w:w="12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r>
              <w:rPr>
                <w:rFonts w:ascii="Times New Roman" w:cs="Times New Roman" w:eastAsia="Times New Roman" w:hAnsi="Times New Roman"/>
                <w:sz w:val="18"/>
                <w:szCs w:val="18"/>
                <w:b w:val="1"/>
                <w:bCs w:val="1"/>
                <w:color w:val="auto"/>
                <w:vertAlign w:val="superscript"/>
              </w:rPr>
              <w:t>(A)</w:t>
            </w:r>
          </w:p>
        </w:tc>
        <w:tc>
          <w:tcPr>
            <w:tcW w:w="140" w:type="dxa"/>
            <w:vAlign w:val="bottom"/>
          </w:tcPr>
          <w:p>
            <w:pPr>
              <w:spacing w:after="0"/>
              <w:rPr>
                <w:sz w:val="11"/>
                <w:szCs w:val="11"/>
                <w:color w:val="auto"/>
              </w:rPr>
            </w:pPr>
          </w:p>
        </w:tc>
        <w:tc>
          <w:tcPr>
            <w:tcW w:w="1440" w:type="dxa"/>
            <w:vAlign w:val="bottom"/>
          </w:tcPr>
          <w:p>
            <w:pPr>
              <w:jc w:val="right"/>
              <w:ind w:right="148"/>
              <w:spacing w:after="0" w:line="131" w:lineRule="exact"/>
              <w:rPr>
                <w:sz w:val="20"/>
                <w:szCs w:val="20"/>
                <w:color w:val="auto"/>
              </w:rPr>
            </w:pPr>
            <w:r>
              <w:rPr>
                <w:rFonts w:ascii="Times New Roman" w:cs="Times New Roman" w:eastAsia="Times New Roman" w:hAnsi="Times New Roman"/>
                <w:sz w:val="14"/>
                <w:szCs w:val="14"/>
                <w:b w:val="1"/>
                <w:bCs w:val="1"/>
                <w:color w:val="auto"/>
              </w:rPr>
              <w:t>UPB of Underlying</w:t>
            </w:r>
          </w:p>
        </w:tc>
        <w:tc>
          <w:tcPr>
            <w:tcW w:w="80" w:type="dxa"/>
            <w:vAlign w:val="bottom"/>
          </w:tcPr>
          <w:p>
            <w:pPr>
              <w:spacing w:after="0"/>
              <w:rPr>
                <w:sz w:val="11"/>
                <w:szCs w:val="11"/>
                <w:color w:val="auto"/>
              </w:rPr>
            </w:pPr>
          </w:p>
        </w:tc>
        <w:tc>
          <w:tcPr>
            <w:tcW w:w="13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Loan Count</w:t>
            </w:r>
            <w:r>
              <w:rPr>
                <w:rFonts w:ascii="Times New Roman" w:cs="Times New Roman" w:eastAsia="Times New Roman" w:hAnsi="Times New Roman"/>
                <w:sz w:val="18"/>
                <w:szCs w:val="18"/>
                <w:b w:val="1"/>
                <w:bCs w:val="1"/>
                <w:color w:val="auto"/>
                <w:vertAlign w:val="superscript"/>
              </w:rPr>
              <w:t>(B)</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7"/>
              </w:rPr>
              <w:t>Carrying Value</w:t>
            </w:r>
            <w:r>
              <w:rPr>
                <w:rFonts w:ascii="Times New Roman" w:cs="Times New Roman" w:eastAsia="Times New Roman" w:hAnsi="Times New Roman"/>
                <w:sz w:val="18"/>
                <w:szCs w:val="18"/>
                <w:b w:val="1"/>
                <w:bCs w:val="1"/>
                <w:color w:val="auto"/>
                <w:w w:val="97"/>
                <w:vertAlign w:val="superscript"/>
              </w:rPr>
              <w:t>(A)</w:t>
            </w: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HELOC loans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14,413,966</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191,280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12,783,215</w:t>
            </w: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172,540</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111,211</w:t>
            </w:r>
          </w:p>
        </w:tc>
        <w:tc>
          <w:tcPr>
            <w:tcW w:w="0" w:type="dxa"/>
            <w:vAlign w:val="bottom"/>
          </w:tcPr>
          <w:p>
            <w:pPr>
              <w:spacing w:after="0"/>
              <w:rPr>
                <w:sz w:val="1"/>
                <w:szCs w:val="1"/>
                <w:color w:val="auto"/>
              </w:rPr>
            </w:pPr>
          </w:p>
        </w:tc>
      </w:tr>
      <w:tr>
        <w:trPr>
          <w:trHeight w:val="196"/>
        </w:trPr>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145,060</w:t>
            </w:r>
          </w:p>
        </w:tc>
        <w:tc>
          <w:tcPr>
            <w:tcW w:w="100" w:type="dxa"/>
            <w:vAlign w:val="bottom"/>
          </w:tcPr>
          <w:p>
            <w:pPr>
              <w:spacing w:after="0"/>
              <w:rPr>
                <w:sz w:val="17"/>
                <w:szCs w:val="17"/>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147,268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228"/>
        </w:trPr>
        <w:tc>
          <w:tcPr>
            <w:tcW w:w="22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servicing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14,559,026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191,545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12,930,483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172,810</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113,064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left="180" w:hanging="172"/>
        <w:spacing w:after="0" w:line="233" w:lineRule="auto"/>
        <w:tabs>
          <w:tab w:leader="none" w:pos="295"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records loan servicing assets at fair value. The total carrying value includes $61.9 million and $63.8 million of collateralized loan servicing rights at March 31, 2026 and December 31, 2025, respectively. See Notes 6 and 12 for additional information regarding the mortgage service right (“MSR”) financing arrangement and valuation of the Company’s servicing rights, respectively.</w:t>
      </w:r>
    </w:p>
    <w:p>
      <w:pPr>
        <w:spacing w:after="0" w:line="1" w:lineRule="exact"/>
        <w:rPr>
          <w:rFonts w:ascii="Times New Roman" w:cs="Times New Roman" w:eastAsia="Times New Roman" w:hAnsi="Times New Roman"/>
          <w:sz w:val="19"/>
          <w:szCs w:val="19"/>
          <w:color w:val="auto"/>
          <w:vertAlign w:val="superscript"/>
        </w:rPr>
      </w:pPr>
    </w:p>
    <w:p>
      <w:pPr>
        <w:ind w:left="160" w:hanging="152"/>
        <w:spacing w:after="0" w:line="215" w:lineRule="auto"/>
        <w:tabs>
          <w:tab w:leader="none" w:pos="160" w:val="left"/>
        </w:tabs>
        <w:numPr>
          <w:ilvl w:val="0"/>
          <w:numId w:val="1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loan count for HELOC loans was incorrectly presented in thousands, instead of ones, at December 31, 2025, and has been corrected to be properly presented in ones.</w:t>
      </w:r>
    </w:p>
    <w:p>
      <w:pPr>
        <w:spacing w:after="0" w:line="38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Company’s servicing assets for the three months ended March 31, 2026 and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88,497</w:t>
            </w:r>
          </w:p>
        </w:tc>
      </w:tr>
      <w:tr>
        <w:trPr>
          <w:trHeight w:val="195"/>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due to:</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(A)</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10,269</w:t>
            </w:r>
          </w:p>
        </w:tc>
      </w:tr>
      <w:tr>
        <w:trPr>
          <w:trHeight w:val="203"/>
        </w:trPr>
        <w:tc>
          <w:tcPr>
            <w:tcW w:w="976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Realization of cash flows</w:t>
            </w:r>
            <w:r>
              <w:rPr>
                <w:rFonts w:ascii="Times New Roman" w:cs="Times New Roman" w:eastAsia="Times New Roman" w:hAnsi="Times New Roman"/>
                <w:sz w:val="18"/>
                <w:szCs w:val="18"/>
                <w:color w:val="auto"/>
                <w:vertAlign w:val="superscript"/>
              </w:rPr>
              <w:t>(B)</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(5,240)</w:t>
            </w:r>
          </w:p>
        </w:tc>
      </w:tr>
      <w:tr>
        <w:trPr>
          <w:trHeight w:val="203"/>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valuation inputs and assumptions</w:t>
            </w: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r>
      <w:tr>
        <w:trPr>
          <w:trHeight w:val="189"/>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impact of change to fair value</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22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88,823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520" w:type="dxa"/>
            <w:vAlign w:val="bottom"/>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113,064</w:t>
            </w:r>
          </w:p>
        </w:tc>
      </w:tr>
      <w:tr>
        <w:trPr>
          <w:trHeight w:val="195"/>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due to:</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(A)</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20,352</w:t>
            </w:r>
          </w:p>
        </w:tc>
      </w:tr>
      <w:tr>
        <w:trPr>
          <w:trHeight w:val="203"/>
        </w:trPr>
        <w:tc>
          <w:tcPr>
            <w:tcW w:w="976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Realization of cash flows</w:t>
            </w:r>
            <w:r>
              <w:rPr>
                <w:rFonts w:ascii="Times New Roman" w:cs="Times New Roman" w:eastAsia="Times New Roman" w:hAnsi="Times New Roman"/>
                <w:sz w:val="18"/>
                <w:szCs w:val="18"/>
                <w:color w:val="auto"/>
                <w:vertAlign w:val="superscript"/>
              </w:rPr>
              <w:t>(B)</w:t>
            </w:r>
          </w:p>
        </w:tc>
        <w:tc>
          <w:tcPr>
            <w:tcW w:w="5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(8,669)</w:t>
            </w:r>
          </w:p>
        </w:tc>
      </w:tr>
      <w:tr>
        <w:trPr>
          <w:trHeight w:val="203"/>
        </w:trPr>
        <w:tc>
          <w:tcPr>
            <w:tcW w:w="9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valuation inputs and assumptions</w:t>
            </w:r>
          </w:p>
        </w:tc>
        <w:tc>
          <w:tcPr>
            <w:tcW w:w="5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r>
      <w:tr>
        <w:trPr>
          <w:trHeight w:val="189"/>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impact of change to fair value</w:t>
            </w:r>
          </w:p>
        </w:tc>
        <w:tc>
          <w:tcPr>
            <w:tcW w:w="5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12,867</w:t>
            </w:r>
          </w:p>
        </w:tc>
      </w:tr>
      <w:tr>
        <w:trPr>
          <w:trHeight w:val="22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520" w:type="dxa"/>
            <w:vAlign w:val="bottom"/>
            <w:tcBorders>
              <w:bottom w:val="single" w:sz="8" w:color="auto"/>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125,931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80" w:hanging="272"/>
        <w:spacing w:after="0"/>
        <w:tabs>
          <w:tab w:leader="none" w:pos="28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fair value of servicing rights retained upon sale of originated and purchased loans.</w:t>
      </w:r>
    </w:p>
    <w:p>
      <w:pPr>
        <w:ind w:left="280" w:hanging="272"/>
        <w:spacing w:after="0"/>
        <w:tabs>
          <w:tab w:leader="none" w:pos="280" w:val="left"/>
        </w:tabs>
        <w:numPr>
          <w:ilvl w:val="0"/>
          <w:numId w:val="1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Based on the paydown of the underlying loans.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geographic concentration of the loans underlying the servicing rights at March 31, 2026 and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2940" w:type="dxa"/>
            <w:vAlign w:val="bottom"/>
            <w:gridSpan w:val="3"/>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200" w:type="dxa"/>
            <w:vAlign w:val="bottom"/>
          </w:tcPr>
          <w:p>
            <w:pPr>
              <w:spacing w:after="0"/>
              <w:rPr>
                <w:sz w:val="11"/>
                <w:szCs w:val="11"/>
                <w:color w:val="auto"/>
              </w:rPr>
            </w:pPr>
          </w:p>
        </w:tc>
        <w:tc>
          <w:tcPr>
            <w:tcW w:w="13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00" w:type="dxa"/>
            <w:vAlign w:val="bottom"/>
          </w:tcPr>
          <w:p>
            <w:pPr>
              <w:spacing w:after="0"/>
              <w:rPr>
                <w:sz w:val="11"/>
                <w:szCs w:val="11"/>
                <w:color w:val="auto"/>
              </w:rPr>
            </w:pPr>
          </w:p>
        </w:tc>
        <w:tc>
          <w:tcPr>
            <w:tcW w:w="13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02"/>
        </w:trPr>
        <w:tc>
          <w:tcPr>
            <w:tcW w:w="48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4"/>
                <w:szCs w:val="14"/>
                <w:b w:val="1"/>
                <w:bCs w:val="1"/>
                <w:color w:val="auto"/>
                <w:w w:val="98"/>
              </w:rPr>
              <w:t>Outstanding</w:t>
            </w:r>
            <w:r>
              <w:rPr>
                <w:rFonts w:ascii="Times New Roman" w:cs="Times New Roman" w:eastAsia="Times New Roman" w:hAnsi="Times New Roman"/>
                <w:sz w:val="18"/>
                <w:szCs w:val="18"/>
                <w:b w:val="1"/>
                <w:bCs w:val="1"/>
                <w:color w:val="auto"/>
                <w:w w:val="98"/>
                <w:vertAlign w:val="superscript"/>
              </w:rPr>
              <w:t>(A)</w:t>
            </w:r>
          </w:p>
        </w:tc>
        <w:tc>
          <w:tcPr>
            <w:tcW w:w="1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8"/>
              </w:rPr>
              <w:t>Outstanding</w:t>
            </w:r>
            <w:r>
              <w:rPr>
                <w:rFonts w:ascii="Times New Roman" w:cs="Times New Roman" w:eastAsia="Times New Roman" w:hAnsi="Times New Roman"/>
                <w:sz w:val="18"/>
                <w:szCs w:val="18"/>
                <w:b w:val="1"/>
                <w:bCs w:val="1"/>
                <w:color w:val="auto"/>
                <w:w w:val="98"/>
                <w:vertAlign w:val="superscript"/>
              </w:rPr>
              <w:t>(A)</w:t>
            </w: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California</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3,603,059</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24.7 %</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3,239,619</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25.1 %</w:t>
            </w:r>
          </w:p>
        </w:tc>
        <w:tc>
          <w:tcPr>
            <w:tcW w:w="0" w:type="dxa"/>
            <w:vAlign w:val="bottom"/>
          </w:tcPr>
          <w:p>
            <w:pPr>
              <w:spacing w:after="0"/>
              <w:rPr>
                <w:sz w:val="1"/>
                <w:szCs w:val="1"/>
                <w:color w:val="auto"/>
              </w:rPr>
            </w:pP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Florida</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1,736,919</w:t>
            </w:r>
          </w:p>
        </w:tc>
        <w:tc>
          <w:tcPr>
            <w:tcW w:w="80" w:type="dxa"/>
            <w:vAlign w:val="bottom"/>
          </w:tcPr>
          <w:p>
            <w:pPr>
              <w:spacing w:after="0"/>
              <w:rPr>
                <w:sz w:val="16"/>
                <w:szCs w:val="16"/>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1,553,217</w:t>
            </w:r>
          </w:p>
        </w:tc>
        <w:tc>
          <w:tcPr>
            <w:tcW w:w="10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Arizona</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700,695</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634,623</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Georgia</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644,475</w:t>
            </w:r>
          </w:p>
        </w:tc>
        <w:tc>
          <w:tcPr>
            <w:tcW w:w="80" w:type="dxa"/>
            <w:vAlign w:val="bottom"/>
          </w:tcPr>
          <w:p>
            <w:pPr>
              <w:spacing w:after="0"/>
              <w:rPr>
                <w:sz w:val="16"/>
                <w:szCs w:val="16"/>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579,494</w:t>
            </w:r>
          </w:p>
        </w:tc>
        <w:tc>
          <w:tcPr>
            <w:tcW w:w="10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Washington</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528,940</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490,630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New Jersey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512,202</w:t>
            </w:r>
          </w:p>
        </w:tc>
        <w:tc>
          <w:tcPr>
            <w:tcW w:w="80" w:type="dxa"/>
            <w:vAlign w:val="bottom"/>
          </w:tcPr>
          <w:p>
            <w:pPr>
              <w:spacing w:after="0"/>
              <w:rPr>
                <w:sz w:val="16"/>
                <w:szCs w:val="16"/>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455,704</w:t>
            </w:r>
          </w:p>
        </w:tc>
        <w:tc>
          <w:tcPr>
            <w:tcW w:w="10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Ohio</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475,199</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414,065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472,959</w:t>
            </w:r>
          </w:p>
        </w:tc>
        <w:tc>
          <w:tcPr>
            <w:tcW w:w="80" w:type="dxa"/>
            <w:vAlign w:val="bottom"/>
          </w:tcPr>
          <w:p>
            <w:pPr>
              <w:spacing w:after="0"/>
              <w:rPr>
                <w:sz w:val="16"/>
                <w:szCs w:val="16"/>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413,862</w:t>
            </w:r>
          </w:p>
        </w:tc>
        <w:tc>
          <w:tcPr>
            <w:tcW w:w="10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North Carolina</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393,825</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358,185</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5"/>
        </w:trPr>
        <w:tc>
          <w:tcPr>
            <w:tcW w:w="4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371,633</w:t>
            </w:r>
          </w:p>
        </w:tc>
        <w:tc>
          <w:tcPr>
            <w:tcW w:w="80" w:type="dxa"/>
            <w:vAlign w:val="bottom"/>
          </w:tcPr>
          <w:p>
            <w:pPr>
              <w:spacing w:after="0"/>
              <w:rPr>
                <w:sz w:val="16"/>
                <w:szCs w:val="16"/>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338,515</w:t>
            </w:r>
          </w:p>
        </w:tc>
        <w:tc>
          <w:tcPr>
            <w:tcW w:w="100" w:type="dxa"/>
            <w:vAlign w:val="bottom"/>
          </w:tcPr>
          <w:p>
            <w:pPr>
              <w:spacing w:after="0"/>
              <w:rPr>
                <w:sz w:val="16"/>
                <w:szCs w:val="16"/>
                <w:color w:val="auto"/>
              </w:rPr>
            </w:pPr>
          </w:p>
        </w:tc>
        <w:tc>
          <w:tcPr>
            <w:tcW w:w="1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0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9"/>
                <w:szCs w:val="9"/>
                <w:color w:val="auto"/>
              </w:rPr>
              <w:t>(B)</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5,119,120</w:t>
            </w:r>
          </w:p>
        </w:tc>
        <w:tc>
          <w:tcPr>
            <w:tcW w:w="8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35.3</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4,452,569</w:t>
            </w:r>
          </w:p>
        </w:tc>
        <w:tc>
          <w:tcPr>
            <w:tcW w:w="100" w:type="dxa"/>
            <w:vAlign w:val="bottom"/>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203"/>
        </w:trPr>
        <w:tc>
          <w:tcPr>
            <w:tcW w:w="4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14,559,026</w:t>
            </w:r>
          </w:p>
        </w:tc>
        <w:tc>
          <w:tcPr>
            <w:tcW w:w="80" w:type="dxa"/>
            <w:vAlign w:val="bottom"/>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12,930,483</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40" w:hanging="232"/>
        <w:spacing w:after="0"/>
        <w:tabs>
          <w:tab w:leader="none" w:pos="24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principal balance of loans that the Company services.</w:t>
      </w:r>
    </w:p>
    <w:p>
      <w:pPr>
        <w:spacing w:after="0" w:line="3" w:lineRule="exact"/>
        <w:rPr>
          <w:rFonts w:ascii="Times New Roman" w:cs="Times New Roman" w:eastAsia="Times New Roman" w:hAnsi="Times New Roman"/>
          <w:sz w:val="19"/>
          <w:szCs w:val="19"/>
          <w:color w:val="auto"/>
          <w:vertAlign w:val="superscript"/>
        </w:rPr>
      </w:pPr>
    </w:p>
    <w:p>
      <w:pPr>
        <w:ind w:left="220" w:hanging="212"/>
        <w:spacing w:after="0" w:line="189" w:lineRule="auto"/>
        <w:tabs>
          <w:tab w:leader="none" w:pos="22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 did not service loans in any state or U.S. territory contained in “Other” aggregating to more than 5% of the total amount outstanding of the loans that the Company services.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its servicing operations, the Company held principal, interest, and other borrower payments of $434.5 million and $364.9 million at March 31, 2026 and December 31, 2025, respectively, due to third-party loan buyers recorded as “Payables to third-party loan owners” in the Condensed Consolidated Balance Sheets. The Company makes payments on these arrangements by remitting amounts due from proceeds received from borrower payments on the underlying loans. Additionally, the Company has outstanding liability obligations to repurchase loans that are in early payment default status. At March 31, 2026 and December 31, 2025, the total obligation to repurchase loans associated with contractual arrangements was $16.8 million and $17.7 million, respectively, recorded in “Payables to third-party loan owners” in the Condensed Consolidated Balance Sheets.</w:t>
      </w:r>
    </w:p>
    <w:p>
      <w:pPr>
        <w:spacing w:after="0" w:line="36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records loans at fair value, therefore carrying value represents fair value; see Note 12 for additional information regarding the valuation of loans.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loans held by the Company at March 31, 2026 and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40" w:type="dxa"/>
            <w:vAlign w:val="bottom"/>
          </w:tcPr>
          <w:p>
            <w:pPr>
              <w:spacing w:after="0"/>
              <w:rPr>
                <w:sz w:val="16"/>
                <w:szCs w:val="16"/>
                <w:color w:val="auto"/>
              </w:rPr>
            </w:pPr>
          </w:p>
        </w:tc>
        <w:tc>
          <w:tcPr>
            <w:tcW w:w="2720" w:type="dxa"/>
            <w:vAlign w:val="bottom"/>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UPB</w:t>
            </w:r>
          </w:p>
        </w:tc>
        <w:tc>
          <w:tcPr>
            <w:tcW w:w="5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UPB</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8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9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r>
      <w:tr>
        <w:trPr>
          <w:trHeight w:val="203"/>
        </w:trPr>
        <w:tc>
          <w:tcPr>
            <w:tcW w:w="504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HELOC loans</w:t>
            </w:r>
            <w:r>
              <w:rPr>
                <w:rFonts w:ascii="Times New Roman" w:cs="Times New Roman" w:eastAsia="Times New Roman" w:hAnsi="Times New Roman"/>
                <w:sz w:val="18"/>
                <w:szCs w:val="18"/>
                <w:color w:val="auto"/>
                <w:vertAlign w:val="superscript"/>
              </w:rPr>
              <w:t>(A)</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426,137</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437,577</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312,401</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320,566</w:t>
            </w:r>
          </w:p>
        </w:tc>
      </w:tr>
      <w:tr>
        <w:trPr>
          <w:trHeight w:val="203"/>
        </w:trPr>
        <w:tc>
          <w:tcPr>
            <w:tcW w:w="50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Personal loans</w:t>
            </w:r>
            <w:r>
              <w:rPr>
                <w:rFonts w:ascii="Times New Roman" w:cs="Times New Roman" w:eastAsia="Times New Roman" w:hAnsi="Times New Roman"/>
                <w:sz w:val="18"/>
                <w:szCs w:val="18"/>
                <w:color w:val="auto"/>
                <w:vertAlign w:val="superscript"/>
              </w:rPr>
              <w:t>(B)</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57,670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79,113</w:t>
            </w:r>
          </w:p>
        </w:tc>
      </w:tr>
      <w:tr>
        <w:trPr>
          <w:trHeight w:val="203"/>
        </w:trPr>
        <w:tc>
          <w:tcPr>
            <w:tcW w:w="5040" w:type="dxa"/>
            <w:vAlign w:val="bottom"/>
            <w:tcBorders>
              <w:bottom w:val="single" w:sz="8" w:color="CCEEFF"/>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(C)</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8,681</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4,658</w:t>
            </w:r>
          </w:p>
        </w:tc>
      </w:tr>
      <w:tr>
        <w:trPr>
          <w:trHeight w:val="22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held for sale</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492,725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503,900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396,475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404,337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ind w:left="180" w:hanging="172"/>
        <w:spacing w:after="0" w:line="233" w:lineRule="auto"/>
        <w:tabs>
          <w:tab w:leader="none" w:pos="295"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total carrying value of HELOC loans includes $15.7 million and $21.7 million of collateralized HELOCs under repurchase agreements at March 31, 2026 and December 31, 2025, respectively, which are not for sale while collateralized. See Notes 6 and 12 for additional information regarding funding debt outstanding and valuation of the Company’s loans at fair value, respectively.</w:t>
      </w:r>
    </w:p>
    <w:p>
      <w:pPr>
        <w:spacing w:after="0" w:line="1" w:lineRule="exact"/>
        <w:rPr>
          <w:rFonts w:ascii="Times New Roman" w:cs="Times New Roman" w:eastAsia="Times New Roman" w:hAnsi="Times New Roman"/>
          <w:sz w:val="19"/>
          <w:szCs w:val="19"/>
          <w:color w:val="auto"/>
          <w:vertAlign w:val="superscript"/>
        </w:rPr>
      </w:pPr>
    </w:p>
    <w:p>
      <w:pPr>
        <w:ind w:left="220" w:hanging="212"/>
        <w:spacing w:after="0" w:line="192" w:lineRule="auto"/>
        <w:tabs>
          <w:tab w:leader="none" w:pos="22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Loans collateralized by digital assets.</w:t>
      </w:r>
    </w:p>
    <w:p>
      <w:pPr>
        <w:spacing w:after="0" w:line="3" w:lineRule="exact"/>
        <w:rPr>
          <w:rFonts w:ascii="Times New Roman" w:cs="Times New Roman" w:eastAsia="Times New Roman" w:hAnsi="Times New Roman"/>
          <w:sz w:val="19"/>
          <w:szCs w:val="19"/>
          <w:color w:val="auto"/>
          <w:vertAlign w:val="superscript"/>
        </w:rPr>
      </w:pPr>
    </w:p>
    <w:p>
      <w:pPr>
        <w:ind w:left="220" w:hanging="212"/>
        <w:spacing w:after="0" w:line="189" w:lineRule="auto"/>
        <w:tabs>
          <w:tab w:leader="none" w:pos="22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contains residential transition loans, other mortgage loans, legacy mortgages and other unsecured loans.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is 90 days or more past due. The Company does not consider the average carrying values and interest income recognized (including interest income recognized using a cash-basis method) material for non-accrual loans. The Company placed loans held for sale with an aggregate UPB of $14.0 million and $2.4 million and fair value of $9.6 million and $1.6 million on non-accrual status at March 31, 2026 and December 31, 2025,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hold any loans for investment at March 31, 2026 or December 31, 2025.</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past due status and difference between the aggregate UPB and the aggregate carrying value of loans held by the Company at March 31, 2026 and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4"/>
          </w:tcPr>
          <w:p>
            <w:pPr>
              <w:jc w:val="right"/>
              <w:ind w:right="13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Delinquency</w:t>
            </w: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UPB</w:t>
            </w:r>
          </w:p>
        </w:tc>
        <w:tc>
          <w:tcPr>
            <w:tcW w:w="11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88"/>
              <w:spacing w:after="0" w:line="129" w:lineRule="exact"/>
              <w:rPr>
                <w:sz w:val="20"/>
                <w:szCs w:val="20"/>
                <w:color w:val="auto"/>
              </w:rPr>
            </w:pPr>
            <w:r>
              <w:rPr>
                <w:rFonts w:ascii="Times New Roman" w:cs="Times New Roman" w:eastAsia="Times New Roman" w:hAnsi="Times New Roman"/>
                <w:sz w:val="14"/>
                <w:szCs w:val="14"/>
                <w:b w:val="1"/>
                <w:bCs w:val="1"/>
                <w:color w:val="auto"/>
              </w:rPr>
              <w:t>Carrying Value Over</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UPB</w:t>
            </w:r>
          </w:p>
        </w:tc>
        <w:tc>
          <w:tcPr>
            <w:tcW w:w="11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4"/>
                <w:szCs w:val="14"/>
                <w:b w:val="1"/>
                <w:bCs w:val="1"/>
                <w:color w:val="auto"/>
              </w:rPr>
              <w:t>Carrying Value Over</w:t>
            </w:r>
          </w:p>
        </w:tc>
        <w:tc>
          <w:tcPr>
            <w:tcW w:w="0" w:type="dxa"/>
            <w:vAlign w:val="bottom"/>
          </w:tcPr>
          <w:p>
            <w:pPr>
              <w:spacing w:after="0"/>
              <w:rPr>
                <w:sz w:val="1"/>
                <w:szCs w:val="1"/>
                <w:color w:val="auto"/>
              </w:rPr>
            </w:pPr>
          </w:p>
        </w:tc>
      </w:tr>
      <w:tr>
        <w:trPr>
          <w:trHeight w:val="196"/>
        </w:trPr>
        <w:tc>
          <w:tcPr>
            <w:tcW w:w="3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(Under) UPB</w:t>
            </w:r>
          </w:p>
        </w:tc>
        <w:tc>
          <w:tcPr>
            <w:tcW w:w="24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(Under) UPB</w:t>
            </w:r>
          </w:p>
        </w:tc>
        <w:tc>
          <w:tcPr>
            <w:tcW w:w="0" w:type="dxa"/>
            <w:vAlign w:val="bottom"/>
          </w:tcPr>
          <w:p>
            <w:pPr>
              <w:spacing w:after="0"/>
              <w:rPr>
                <w:sz w:val="1"/>
                <w:szCs w:val="1"/>
                <w:color w:val="auto"/>
              </w:rPr>
            </w:pPr>
          </w:p>
        </w:tc>
      </w:tr>
      <w:tr>
        <w:trPr>
          <w:trHeight w:val="202"/>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460,163</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471,977</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374,842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383,602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30 to 59 days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5"/>
        </w:trPr>
        <w:tc>
          <w:tcPr>
            <w:tcW w:w="3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60 to 89 days</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90 days or more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Forbearance</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2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loans held for sale</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492,725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396,475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loan activity for the three months ended March 31,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Loans Held for Sale</w:t>
            </w:r>
          </w:p>
        </w:tc>
      </w:tr>
      <w:tr>
        <w:trPr>
          <w:trHeight w:val="23"/>
        </w:trPr>
        <w:tc>
          <w:tcPr>
            <w:tcW w:w="97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395,922</w:t>
            </w:r>
          </w:p>
        </w:tc>
      </w:tr>
      <w:tr>
        <w:trPr>
          <w:trHeight w:val="195"/>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516,863</w:t>
            </w:r>
          </w:p>
        </w:tc>
      </w:tr>
      <w:tr>
        <w:trPr>
          <w:trHeight w:val="21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Originations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680,350</w:t>
            </w:r>
          </w:p>
        </w:tc>
      </w:tr>
      <w:tr>
        <w:trPr>
          <w:trHeight w:val="195"/>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net of repurchases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(974,207)</w:t>
            </w:r>
          </w:p>
        </w:tc>
      </w:tr>
      <w:tr>
        <w:trPr>
          <w:trHeight w:val="21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payments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(95,990)</w:t>
            </w:r>
          </w:p>
        </w:tc>
      </w:tr>
      <w:tr>
        <w:trPr>
          <w:trHeight w:val="203"/>
        </w:trPr>
        <w:tc>
          <w:tcPr>
            <w:tcW w:w="97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8"/>
                <w:szCs w:val="18"/>
                <w:color w:val="auto"/>
                <w:vertAlign w:val="superscript"/>
              </w:rPr>
              <w:t>(A)</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6,168</w:t>
            </w:r>
          </w:p>
        </w:tc>
      </w:tr>
      <w:tr>
        <w:trPr>
          <w:trHeight w:val="196"/>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not yet repurchased</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r>
      <w:tr>
        <w:trPr>
          <w:trHeight w:val="203"/>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530,525</w:t>
            </w:r>
          </w:p>
        </w:tc>
      </w:tr>
      <w:tr>
        <w:trPr>
          <w:trHeight w:val="20"/>
        </w:trPr>
        <w:tc>
          <w:tcPr>
            <w:tcW w:w="9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9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95"/>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404,337</w:t>
            </w:r>
          </w:p>
        </w:tc>
      </w:tr>
      <w:tr>
        <w:trPr>
          <w:trHeight w:val="21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1,027,603</w:t>
            </w:r>
          </w:p>
        </w:tc>
      </w:tr>
      <w:tr>
        <w:trPr>
          <w:trHeight w:val="195"/>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Originations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1,204,129</w:t>
            </w:r>
          </w:p>
        </w:tc>
      </w:tr>
      <w:tr>
        <w:trPr>
          <w:trHeight w:val="21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net of repurchases</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(1,944,326)</w:t>
            </w:r>
          </w:p>
        </w:tc>
      </w:tr>
      <w:tr>
        <w:trPr>
          <w:trHeight w:val="195"/>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payments</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(191,230)</w:t>
            </w:r>
          </w:p>
        </w:tc>
      </w:tr>
      <w:tr>
        <w:trPr>
          <w:trHeight w:val="21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8"/>
                <w:szCs w:val="18"/>
                <w:color w:val="auto"/>
                <w:vertAlign w:val="superscript"/>
              </w:rPr>
              <w:t>(A)</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4,299</w:t>
            </w:r>
          </w:p>
        </w:tc>
      </w:tr>
      <w:tr>
        <w:trPr>
          <w:trHeight w:val="196"/>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Loans not yet repurchased</w:t>
            </w: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(912)</w:t>
            </w:r>
          </w:p>
        </w:tc>
      </w:tr>
      <w:tr>
        <w:trPr>
          <w:trHeight w:val="22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503,900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Change in fair value of loans are reflected in “Gain on sale of loans, net” in the Condensed Consolidated Statements of Operations.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top five loan originators for the three months ended March 31, 2026 and 2025 originated $793.5 million and $387.1 million unpaid principal balance of loans, or 77.8% and 73.9%, of total unpaid principal balance of loans purchased by the Company, whose “Gain on sale of loans, net” revenue represent 15.3% and 15.0% of total revenue, respectively.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top five loan purchasers for the three months ended March 31, 2026 and 2025 purchased $1.7 billion and $516.2 million unpaid principal balance of loans, or 51.6% and 73.6%, of total unpaid principal balance of loans sold by the Company, excluding zero and $73.5 million unpaid principal balance securitized, whose “Gain on sale of loans, net” revenue represent 27.1% and 17.8%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components: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2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40" w:type="dxa"/>
            <w:vAlign w:val="bottom"/>
            <w:gridSpan w:val="2"/>
          </w:tcPr>
          <w:p>
            <w:pPr>
              <w:spacing w:after="0"/>
              <w:rPr>
                <w:sz w:val="2"/>
                <w:szCs w:val="2"/>
                <w:color w:val="auto"/>
              </w:rPr>
            </w:pPr>
          </w:p>
        </w:tc>
        <w:tc>
          <w:tcPr>
            <w:tcW w:w="1440" w:type="dxa"/>
            <w:vAlign w:val="bottom"/>
            <w:gridSpan w:val="3"/>
          </w:tcPr>
          <w:p>
            <w:pPr>
              <w:spacing w:after="0"/>
              <w:rPr>
                <w:sz w:val="2"/>
                <w:szCs w:val="2"/>
                <w:color w:val="auto"/>
              </w:rPr>
            </w:pPr>
          </w:p>
        </w:tc>
        <w:tc>
          <w:tcPr>
            <w:tcW w:w="11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1120" w:type="dxa"/>
            <w:vAlign w:val="bottom"/>
            <w:tcBorders>
              <w:top w:val="single" w:sz="8" w:color="auto"/>
            </w:tcBorders>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Facility Inception</w:t>
            </w:r>
          </w:p>
        </w:tc>
        <w:tc>
          <w:tcPr>
            <w:tcW w:w="1440" w:type="dxa"/>
            <w:vAlign w:val="bottom"/>
            <w:tcBorders>
              <w:top w:val="single" w:sz="8" w:color="auto"/>
            </w:tcBorders>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Final Stated</w:t>
            </w:r>
          </w:p>
        </w:tc>
        <w:tc>
          <w:tcPr>
            <w:tcW w:w="1440" w:type="dxa"/>
            <w:vAlign w:val="bottom"/>
            <w:tcBorders>
              <w:top w:val="single" w:sz="8" w:color="auto"/>
            </w:tcBorders>
            <w:gridSpan w:val="3"/>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040" w:type="dxa"/>
            <w:vAlign w:val="bottom"/>
            <w:tcBorders>
              <w:top w:val="single" w:sz="8" w:color="auto"/>
            </w:tcBorders>
          </w:tcPr>
          <w:p>
            <w:pPr>
              <w:jc w:val="center"/>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Collateral</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4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5"/>
              </w:rPr>
              <w:t>Maturity</w:t>
            </w:r>
            <w:r>
              <w:rPr>
                <w:rFonts w:ascii="Times New Roman" w:cs="Times New Roman" w:eastAsia="Times New Roman" w:hAnsi="Times New Roman"/>
                <w:sz w:val="18"/>
                <w:szCs w:val="18"/>
                <w:b w:val="1"/>
                <w:bCs w:val="1"/>
                <w:color w:val="auto"/>
                <w:w w:val="95"/>
                <w:vertAlign w:val="superscript"/>
              </w:rPr>
              <w:t>(A)</w:t>
            </w: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Funding Cost</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Debt carried at cost:</w:t>
            </w: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Warehouse Facility 1</w:t>
            </w:r>
            <w:r>
              <w:rPr>
                <w:rFonts w:ascii="Times New Roman" w:cs="Times New Roman" w:eastAsia="Times New Roman" w:hAnsi="Times New Roman"/>
                <w:sz w:val="18"/>
                <w:szCs w:val="18"/>
                <w:color w:val="auto"/>
                <w:vertAlign w:val="superscript"/>
              </w:rPr>
              <w:t>(B)</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November 2022</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2026</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5.9 %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w:t>
            </w:r>
          </w:p>
        </w:tc>
        <w:tc>
          <w:tcPr>
            <w:tcW w:w="0" w:type="dxa"/>
            <w:vAlign w:val="bottom"/>
          </w:tcPr>
          <w:p>
            <w:pPr>
              <w:spacing w:after="0"/>
              <w:rPr>
                <w:sz w:val="1"/>
                <w:szCs w:val="1"/>
                <w:color w:val="auto"/>
              </w:rPr>
            </w:pPr>
          </w:p>
        </w:tc>
      </w:tr>
      <w:tr>
        <w:trPr>
          <w:trHeight w:val="203"/>
        </w:trPr>
        <w:tc>
          <w:tcPr>
            <w:tcW w:w="2880" w:type="dxa"/>
            <w:vAlign w:val="bottom"/>
          </w:tcPr>
          <w:p>
            <w:pPr>
              <w:ind w:left="360"/>
              <w:spacing w:after="0" w:line="202" w:lineRule="exact"/>
              <w:rPr>
                <w:sz w:val="20"/>
                <w:szCs w:val="20"/>
                <w:color w:val="auto"/>
              </w:rPr>
            </w:pPr>
            <w:r>
              <w:rPr>
                <w:rFonts w:ascii="Times New Roman" w:cs="Times New Roman" w:eastAsia="Times New Roman" w:hAnsi="Times New Roman"/>
                <w:sz w:val="14"/>
                <w:szCs w:val="14"/>
                <w:color w:val="auto"/>
              </w:rPr>
              <w:t>Warehouse Facility 2</w:t>
            </w:r>
            <w:r>
              <w:rPr>
                <w:rFonts w:ascii="Times New Roman" w:cs="Times New Roman" w:eastAsia="Times New Roman" w:hAnsi="Times New Roman"/>
                <w:sz w:val="18"/>
                <w:szCs w:val="18"/>
                <w:color w:val="auto"/>
                <w:vertAlign w:val="superscript"/>
              </w:rPr>
              <w:t>(C)</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February 2023</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January 2027</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7,039</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4"/>
                <w:szCs w:val="14"/>
                <w:color w:val="auto"/>
              </w:rPr>
              <w:t>Warehouse Facility 3</w:t>
            </w:r>
            <w:r>
              <w:rPr>
                <w:rFonts w:ascii="Times New Roman" w:cs="Times New Roman" w:eastAsia="Times New Roman" w:hAnsi="Times New Roman"/>
                <w:sz w:val="18"/>
                <w:szCs w:val="18"/>
                <w:color w:val="auto"/>
                <w:vertAlign w:val="superscript"/>
              </w:rPr>
              <w:t>(D)</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October 2023</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8"/>
              </w:rPr>
              <w:t>n.a.</w:t>
            </w:r>
          </w:p>
        </w:tc>
        <w:tc>
          <w:tcPr>
            <w:tcW w:w="14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80" w:type="dxa"/>
            <w:vAlign w:val="bottom"/>
          </w:tcPr>
          <w:p>
            <w:pPr>
              <w:ind w:left="360"/>
              <w:spacing w:after="0" w:line="202" w:lineRule="exact"/>
              <w:rPr>
                <w:sz w:val="20"/>
                <w:szCs w:val="20"/>
                <w:color w:val="auto"/>
              </w:rPr>
            </w:pPr>
            <w:r>
              <w:rPr>
                <w:rFonts w:ascii="Times New Roman" w:cs="Times New Roman" w:eastAsia="Times New Roman" w:hAnsi="Times New Roman"/>
                <w:sz w:val="14"/>
                <w:szCs w:val="14"/>
                <w:color w:val="auto"/>
              </w:rPr>
              <w:t>REIT Warehouse</w:t>
            </w:r>
            <w:r>
              <w:rPr>
                <w:rFonts w:ascii="Times New Roman" w:cs="Times New Roman" w:eastAsia="Times New Roman" w:hAnsi="Times New Roman"/>
                <w:sz w:val="18"/>
                <w:szCs w:val="18"/>
                <w:color w:val="auto"/>
                <w:vertAlign w:val="superscript"/>
              </w:rPr>
              <w:t>(E)</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2024</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December 2026</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4"/>
                <w:szCs w:val="14"/>
                <w:color w:val="auto"/>
              </w:rPr>
              <w:t>Warehouse Facility 4</w:t>
            </w:r>
            <w:r>
              <w:rPr>
                <w:rFonts w:ascii="Times New Roman" w:cs="Times New Roman" w:eastAsia="Times New Roman" w:hAnsi="Times New Roman"/>
                <w:sz w:val="18"/>
                <w:szCs w:val="18"/>
                <w:color w:val="auto"/>
                <w:vertAlign w:val="superscript"/>
              </w:rPr>
              <w:t>(F)</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2024</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May 2026</w:t>
            </w:r>
          </w:p>
        </w:tc>
        <w:tc>
          <w:tcPr>
            <w:tcW w:w="14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80" w:type="dxa"/>
            <w:vAlign w:val="bottom"/>
          </w:tcPr>
          <w:p>
            <w:pPr>
              <w:ind w:left="360"/>
              <w:spacing w:after="0" w:line="202" w:lineRule="exact"/>
              <w:rPr>
                <w:sz w:val="20"/>
                <w:szCs w:val="20"/>
                <w:color w:val="auto"/>
              </w:rPr>
            </w:pPr>
            <w:r>
              <w:rPr>
                <w:rFonts w:ascii="Times New Roman" w:cs="Times New Roman" w:eastAsia="Times New Roman" w:hAnsi="Times New Roman"/>
                <w:sz w:val="14"/>
                <w:szCs w:val="14"/>
                <w:color w:val="auto"/>
              </w:rPr>
              <w:t>Warehouse Facility 5</w:t>
            </w:r>
            <w:r>
              <w:rPr>
                <w:rFonts w:ascii="Times New Roman" w:cs="Times New Roman" w:eastAsia="Times New Roman" w:hAnsi="Times New Roman"/>
                <w:sz w:val="18"/>
                <w:szCs w:val="18"/>
                <w:color w:val="auto"/>
                <w:vertAlign w:val="superscript"/>
              </w:rPr>
              <w:t>(G)</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2025</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2026</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4"/>
                <w:szCs w:val="14"/>
                <w:color w:val="auto"/>
              </w:rPr>
              <w:t>Warehouse Facility 6</w:t>
            </w:r>
            <w:r>
              <w:rPr>
                <w:rFonts w:ascii="Times New Roman" w:cs="Times New Roman" w:eastAsia="Times New Roman" w:hAnsi="Times New Roman"/>
                <w:sz w:val="18"/>
                <w:szCs w:val="18"/>
                <w:color w:val="auto"/>
                <w:vertAlign w:val="superscript"/>
              </w:rPr>
              <w:t>(H)</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10,349</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July 2025</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June 2027</w:t>
            </w: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w:t>
            </w:r>
          </w:p>
        </w:tc>
        <w:tc>
          <w:tcPr>
            <w:tcW w:w="0" w:type="dxa"/>
            <w:vAlign w:val="bottom"/>
          </w:tcPr>
          <w:p>
            <w:pPr>
              <w:spacing w:after="0"/>
              <w:rPr>
                <w:sz w:val="1"/>
                <w:szCs w:val="1"/>
                <w:color w:val="auto"/>
              </w:rPr>
            </w:pPr>
          </w:p>
        </w:tc>
      </w:tr>
      <w:tr>
        <w:trPr>
          <w:trHeight w:val="203"/>
        </w:trPr>
        <w:tc>
          <w:tcPr>
            <w:tcW w:w="2880" w:type="dxa"/>
            <w:vAlign w:val="bottom"/>
            <w:tcBorders>
              <w:bottom w:val="single" w:sz="8" w:color="CCEEFF"/>
            </w:tcBorders>
          </w:tcPr>
          <w:p>
            <w:pPr>
              <w:ind w:left="360"/>
              <w:spacing w:after="0" w:line="202" w:lineRule="exact"/>
              <w:rPr>
                <w:sz w:val="20"/>
                <w:szCs w:val="20"/>
                <w:color w:val="auto"/>
              </w:rPr>
            </w:pPr>
            <w:r>
              <w:rPr>
                <w:rFonts w:ascii="Times New Roman" w:cs="Times New Roman" w:eastAsia="Times New Roman" w:hAnsi="Times New Roman"/>
                <w:sz w:val="14"/>
                <w:szCs w:val="14"/>
                <w:color w:val="auto"/>
              </w:rPr>
              <w:t>Digital Asset Loan Facility</w:t>
            </w:r>
            <w:r>
              <w:rPr>
                <w:rFonts w:ascii="Times New Roman" w:cs="Times New Roman" w:eastAsia="Times New Roman" w:hAnsi="Times New Roman"/>
                <w:sz w:val="18"/>
                <w:szCs w:val="18"/>
                <w:color w:val="auto"/>
                <w:vertAlign w:val="superscript"/>
              </w:rPr>
              <w:t>(I)</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April 2025</w:t>
            </w:r>
          </w:p>
        </w:tc>
        <w:tc>
          <w:tcPr>
            <w:tcW w:w="14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October 2026</w:t>
            </w:r>
          </w:p>
        </w:tc>
        <w:tc>
          <w:tcPr>
            <w:tcW w:w="1260" w:type="dxa"/>
            <w:vAlign w:val="bottom"/>
            <w:tcBorders>
              <w:bottom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0" w:type="dxa"/>
            <w:vAlign w:val="bottom"/>
          </w:tcPr>
          <w:p>
            <w:pPr>
              <w:spacing w:after="0"/>
              <w:rPr>
                <w:sz w:val="1"/>
                <w:szCs w:val="1"/>
                <w:color w:val="auto"/>
              </w:rPr>
            </w:pPr>
          </w:p>
        </w:tc>
      </w:tr>
      <w:tr>
        <w:trPr>
          <w:trHeight w:val="196"/>
        </w:trPr>
        <w:tc>
          <w:tcPr>
            <w:tcW w:w="2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14,843</w:t>
            </w: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21,553</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MSR financing:</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Lender 1</w:t>
            </w:r>
            <w:r>
              <w:rPr>
                <w:rFonts w:ascii="Times New Roman" w:cs="Times New Roman" w:eastAsia="Times New Roman" w:hAnsi="Times New Roman"/>
                <w:sz w:val="18"/>
                <w:szCs w:val="18"/>
                <w:color w:val="auto"/>
                <w:vertAlign w:val="superscript"/>
              </w:rPr>
              <w:t>(J)</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2024</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2026</w:t>
            </w:r>
          </w:p>
        </w:tc>
        <w:tc>
          <w:tcPr>
            <w:tcW w:w="1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148"/>
        </w:trPr>
        <w:tc>
          <w:tcPr>
            <w:tcW w:w="28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Financed retained interests:</w:t>
            </w: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Retained Interest Facility</w:t>
            </w:r>
            <w:r>
              <w:rPr>
                <w:rFonts w:ascii="Times New Roman" w:cs="Times New Roman" w:eastAsia="Times New Roman" w:hAnsi="Times New Roman"/>
                <w:sz w:val="18"/>
                <w:szCs w:val="18"/>
                <w:color w:val="auto"/>
                <w:vertAlign w:val="superscript"/>
              </w:rPr>
              <w:t>(K)</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263,796</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April 2023</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93"/>
              </w:rPr>
              <w:t>Various</w:t>
            </w:r>
            <w:r>
              <w:rPr>
                <w:rFonts w:ascii="Times New Roman" w:cs="Times New Roman" w:eastAsia="Times New Roman" w:hAnsi="Times New Roman"/>
                <w:sz w:val="18"/>
                <w:szCs w:val="18"/>
                <w:color w:val="auto"/>
                <w:w w:val="93"/>
                <w:vertAlign w:val="superscript"/>
              </w:rPr>
              <w:t>(L)</w:t>
            </w:r>
          </w:p>
        </w:tc>
        <w:tc>
          <w:tcPr>
            <w:tcW w:w="1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263,935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0628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debt carried at cost, gross</w:t>
      </w:r>
    </w:p>
    <w:p>
      <w:pPr>
        <w:spacing w:after="0" w:line="18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Unamortized deferred financing costs</w:t>
      </w:r>
      <w:r>
        <w:rPr>
          <w:rFonts w:ascii="Times New Roman" w:cs="Times New Roman" w:eastAsia="Times New Roman" w:hAnsi="Times New Roman"/>
          <w:sz w:val="18"/>
          <w:szCs w:val="18"/>
          <w:color w:val="auto"/>
          <w:vertAlign w:val="superscript"/>
        </w:rPr>
        <w:t>(M)</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debt carried at cost, net</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Debt at fair value:</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FCC</w:t>
      </w:r>
      <w:r>
        <w:rPr>
          <w:rFonts w:ascii="Times New Roman" w:cs="Times New Roman" w:eastAsia="Times New Roman" w:hAnsi="Times New Roman"/>
          <w:sz w:val="18"/>
          <w:szCs w:val="18"/>
          <w:color w:val="auto"/>
          <w:vertAlign w:val="superscript"/>
        </w:rPr>
        <w:t>(N)</w:t>
      </w:r>
    </w:p>
    <w:p>
      <w:pPr>
        <w:spacing w:after="0" w:line="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Democratized Prime YLDS</w:t>
      </w:r>
      <w:r>
        <w:rPr>
          <w:rFonts w:ascii="Times New Roman" w:cs="Times New Roman" w:eastAsia="Times New Roman" w:hAnsi="Times New Roman"/>
          <w:sz w:val="18"/>
          <w:szCs w:val="18"/>
          <w:color w:val="auto"/>
          <w:vertAlign w:val="superscript"/>
        </w:rPr>
        <w:t>(O)</w:t>
      </w:r>
    </w:p>
    <w:p>
      <w:pPr>
        <w:spacing w:after="0" w:line="3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Debt at fair value to related parties:</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FCC - related parties</w:t>
      </w:r>
      <w:r>
        <w:rPr>
          <w:rFonts w:ascii="Times New Roman" w:cs="Times New Roman" w:eastAsia="Times New Roman" w:hAnsi="Times New Roman"/>
          <w:sz w:val="18"/>
          <w:szCs w:val="18"/>
          <w:color w:val="auto"/>
          <w:vertAlign w:val="superscript"/>
        </w:rPr>
        <w:t>(N)</w:t>
      </w:r>
    </w:p>
    <w:p>
      <w:pPr>
        <w:spacing w:after="0" w:line="15" w:lineRule="exact"/>
        <w:rPr>
          <w:sz w:val="20"/>
          <w:szCs w:val="20"/>
          <w:color w:val="auto"/>
        </w:rPr>
      </w:pPr>
    </w:p>
    <w:p>
      <w:pPr>
        <w:ind w:left="240" w:right="400"/>
        <w:spacing w:after="0" w:line="215" w:lineRule="auto"/>
        <w:rPr>
          <w:sz w:val="20"/>
          <w:szCs w:val="20"/>
          <w:color w:val="auto"/>
        </w:rPr>
      </w:pPr>
      <w:r>
        <w:rPr>
          <w:rFonts w:ascii="Times New Roman" w:cs="Times New Roman" w:eastAsia="Times New Roman" w:hAnsi="Times New Roman"/>
          <w:sz w:val="14"/>
          <w:szCs w:val="14"/>
          <w:color w:val="auto"/>
        </w:rPr>
        <w:t>Democratized Prime YLDS - related parties</w:t>
      </w:r>
      <w:r>
        <w:rPr>
          <w:rFonts w:ascii="Times New Roman" w:cs="Times New Roman" w:eastAsia="Times New Roman" w:hAnsi="Times New Roman"/>
          <w:sz w:val="18"/>
          <w:szCs w:val="18"/>
          <w:color w:val="auto"/>
          <w:vertAlign w:val="superscript"/>
        </w:rPr>
        <w:t>(O)</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right"/>
        <w:ind w:right="6000"/>
        <w:spacing w:after="0"/>
        <w:rPr>
          <w:sz w:val="20"/>
          <w:szCs w:val="20"/>
          <w:color w:val="auto"/>
        </w:rPr>
      </w:pPr>
      <w:r>
        <w:rPr>
          <w:rFonts w:ascii="Times New Roman" w:cs="Times New Roman" w:eastAsia="Times New Roman" w:hAnsi="Times New Roman"/>
          <w:sz w:val="14"/>
          <w:szCs w:val="14"/>
          <w:color w:val="auto"/>
        </w:rPr>
        <w:t>318,639</w:t>
      </w:r>
    </w:p>
    <w:p>
      <w:pPr>
        <w:spacing w:after="0" w:line="190" w:lineRule="exact"/>
        <w:rPr>
          <w:sz w:val="20"/>
          <w:szCs w:val="20"/>
          <w:color w:val="auto"/>
        </w:rPr>
      </w:pPr>
    </w:p>
    <w:p>
      <w:pPr>
        <w:jc w:val="right"/>
        <w:ind w:right="5960"/>
        <w:spacing w:after="0"/>
        <w:rPr>
          <w:sz w:val="20"/>
          <w:szCs w:val="20"/>
          <w:color w:val="auto"/>
        </w:rPr>
      </w:pPr>
      <w:r>
        <w:rPr>
          <w:rFonts w:ascii="Times New Roman" w:cs="Times New Roman" w:eastAsia="Times New Roman" w:hAnsi="Times New Roman"/>
          <w:sz w:val="14"/>
          <w:szCs w:val="14"/>
          <w:color w:val="auto"/>
        </w:rPr>
        <w:t>(2,500)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-95885</wp:posOffset>
            </wp:positionV>
            <wp:extent cx="710628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316,139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32385</wp:posOffset>
            </wp:positionV>
            <wp:extent cx="7106285"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93980"/>
                    </a:xfrm>
                    <a:prstGeom prst="rect">
                      <a:avLst/>
                    </a:prstGeom>
                    <a:noFill/>
                  </pic:spPr>
                </pic:pic>
              </a:graphicData>
            </a:graphic>
          </wp:anchor>
        </w:drawing>
      </w:r>
    </w:p>
    <w:p>
      <w:pPr>
        <w:spacing w:after="0" w:line="373" w:lineRule="exact"/>
        <w:rPr>
          <w:sz w:val="20"/>
          <w:szCs w:val="20"/>
          <w:color w:val="auto"/>
        </w:rPr>
      </w:pPr>
    </w:p>
    <w:p>
      <w:pPr>
        <w:jc w:val="right"/>
        <w:ind w:right="6000"/>
        <w:spacing w:after="0"/>
        <w:rPr>
          <w:sz w:val="20"/>
          <w:szCs w:val="20"/>
          <w:color w:val="auto"/>
        </w:rPr>
      </w:pPr>
      <w:r>
        <w:rPr>
          <w:rFonts w:ascii="Times New Roman" w:cs="Times New Roman" w:eastAsia="Times New Roman" w:hAnsi="Times New Roman"/>
          <w:sz w:val="14"/>
          <w:szCs w:val="14"/>
          <w:color w:val="auto"/>
        </w:rPr>
        <w:t>125,496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-95885</wp:posOffset>
            </wp:positionV>
            <wp:extent cx="710628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2" w:lineRule="exact"/>
        <w:rPr>
          <w:sz w:val="20"/>
          <w:szCs w:val="20"/>
          <w:color w:val="auto"/>
        </w:rPr>
      </w:pPr>
    </w:p>
    <w:p>
      <w:pPr>
        <w:jc w:val="right"/>
        <w:ind w:right="6000"/>
        <w:spacing w:after="0"/>
        <w:rPr>
          <w:sz w:val="20"/>
          <w:szCs w:val="20"/>
          <w:color w:val="auto"/>
        </w:rPr>
      </w:pPr>
      <w:r>
        <w:rPr>
          <w:rFonts w:ascii="Times New Roman" w:cs="Times New Roman" w:eastAsia="Times New Roman" w:hAnsi="Times New Roman"/>
          <w:sz w:val="14"/>
          <w:szCs w:val="14"/>
          <w:color w:val="auto"/>
        </w:rPr>
        <w:t>49,093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32385</wp:posOffset>
            </wp:positionV>
            <wp:extent cx="710628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174,589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126365</wp:posOffset>
            </wp:positionV>
            <wp:extent cx="710628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3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73,623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32385</wp:posOffset>
            </wp:positionV>
            <wp:extent cx="710628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21463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302,903</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4"/>
          <w:szCs w:val="14"/>
          <w:color w:val="auto"/>
        </w:rPr>
        <w:t>293,186</w:t>
      </w:r>
    </w:p>
    <w:p>
      <w:pPr>
        <w:spacing w:after="0" w:line="19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4"/>
          <w:szCs w:val="14"/>
          <w:color w:val="auto"/>
        </w:rPr>
        <w:t>(2,603)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32385</wp:posOffset>
            </wp:positionV>
            <wp:extent cx="10541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290,583</w:t>
      </w:r>
    </w:p>
    <w:p>
      <w:pPr>
        <w:spacing w:after="0" w:line="3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76,110</w:t>
      </w:r>
    </w:p>
    <w:p>
      <w:pPr>
        <w:spacing w:after="0" w:line="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24,409</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100,519</w:t>
      </w:r>
    </w:p>
    <w:p>
      <w:pPr>
        <w:spacing w:after="0" w:line="3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2,050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164,085</w:t>
      </w:r>
    </w:p>
    <w:p>
      <w:pPr>
        <w:spacing w:after="0" w:line="50" w:lineRule="exact"/>
        <w:rPr>
          <w:sz w:val="20"/>
          <w:szCs w:val="20"/>
          <w:color w:val="auto"/>
        </w:rPr>
      </w:pPr>
    </w:p>
    <w:p>
      <w:pPr>
        <w:sectPr>
          <w:pgSz w:w="11900" w:h="16838" w:orient="portrait"/>
          <w:cols w:equalWidth="0" w:num="3">
            <w:col w:w="2760" w:space="720"/>
            <w:col w:w="6460" w:space="720"/>
            <w:col w:w="5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376,526</w:t>
            </w:r>
          </w:p>
        </w:tc>
        <w:tc>
          <w:tcPr>
            <w:tcW w:w="554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166,135</w:t>
            </w:r>
          </w:p>
        </w:tc>
      </w:tr>
      <w:tr>
        <w:trPr>
          <w:trHeight w:val="152"/>
        </w:trPr>
        <w:tc>
          <w:tcPr>
            <w:tcW w:w="28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54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r>
      <w:tr>
        <w:trPr>
          <w:trHeight w:val="18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 carried at fair value</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551,115</w:t>
            </w:r>
          </w:p>
        </w:tc>
        <w:tc>
          <w:tcPr>
            <w:tcW w:w="5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266,654</w:t>
            </w:r>
          </w:p>
        </w:tc>
      </w:tr>
      <w:tr>
        <w:trPr>
          <w:trHeight w:val="156"/>
        </w:trPr>
        <w:tc>
          <w:tcPr>
            <w:tcW w:w="28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54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r>
      <w:tr>
        <w:trPr>
          <w:trHeight w:val="19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867,254</w:t>
            </w:r>
          </w:p>
        </w:tc>
        <w:tc>
          <w:tcPr>
            <w:tcW w:w="5540" w:type="dxa"/>
            <w:vAlign w:val="bottom"/>
          </w:tcPr>
          <w:p>
            <w:pPr>
              <w:spacing w:after="0"/>
              <w:rPr>
                <w:sz w:val="17"/>
                <w:szCs w:val="17"/>
                <w:color w:val="auto"/>
              </w:rPr>
            </w:pPr>
          </w:p>
        </w:tc>
        <w:tc>
          <w:tcPr>
            <w:tcW w:w="6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557,237</w:t>
            </w:r>
          </w:p>
        </w:tc>
      </w:tr>
      <w:tr>
        <w:trPr>
          <w:trHeight w:val="20"/>
        </w:trPr>
        <w:tc>
          <w:tcPr>
            <w:tcW w:w="2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Debt obligations with a stated maturity through the date of issuance of the Condensed Consolidated Financial Statements were refinanced, extended or repaid.</w:t>
      </w:r>
    </w:p>
    <w:p>
      <w:pPr>
        <w:ind w:left="220" w:hanging="212"/>
        <w:spacing w:after="0"/>
        <w:tabs>
          <w:tab w:leader="none" w:pos="22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Warehouse Facility 1 bears interest at Secured Financing Overnight Rate (“SOFR”) plus a spread of 2.25% at March 31, 2026.</w:t>
      </w:r>
    </w:p>
    <w:p>
      <w:pPr>
        <w:spacing w:after="0" w:line="11" w:lineRule="exact"/>
        <w:rPr>
          <w:rFonts w:ascii="Times New Roman" w:cs="Times New Roman" w:eastAsia="Times New Roman" w:hAnsi="Times New Roman"/>
          <w:sz w:val="9"/>
          <w:szCs w:val="9"/>
          <w:color w:val="auto"/>
        </w:rPr>
      </w:pPr>
    </w:p>
    <w:p>
      <w:pPr>
        <w:ind w:left="220" w:hanging="212"/>
        <w:spacing w:after="0"/>
        <w:tabs>
          <w:tab w:leader="none" w:pos="22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Warehouse Facility 2 bears variable interest at SOFR plus a spread between 2.15% and 5.50% at March 31, 2026. A portion of the facility is also subject to a 0.5% non-use fee.</w:t>
      </w:r>
    </w:p>
    <w:p>
      <w:pPr>
        <w:spacing w:after="0" w:line="14" w:lineRule="exact"/>
        <w:rPr>
          <w:rFonts w:ascii="Times New Roman" w:cs="Times New Roman" w:eastAsia="Times New Roman" w:hAnsi="Times New Roman"/>
          <w:sz w:val="9"/>
          <w:szCs w:val="9"/>
          <w:color w:val="auto"/>
        </w:rPr>
      </w:pPr>
    </w:p>
    <w:p>
      <w:pPr>
        <w:ind w:left="280" w:hanging="272"/>
        <w:spacing w:after="0" w:line="192" w:lineRule="auto"/>
        <w:tabs>
          <w:tab w:leader="none" w:pos="28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Warehouse Facility 3 is an advance facility in which the lender earns carry on collateral in the facility.</w:t>
      </w:r>
    </w:p>
    <w:p>
      <w:pPr>
        <w:spacing w:after="0" w:line="3" w:lineRule="exact"/>
        <w:rPr>
          <w:rFonts w:ascii="Times New Roman" w:cs="Times New Roman" w:eastAsia="Times New Roman" w:hAnsi="Times New Roman"/>
          <w:sz w:val="19"/>
          <w:szCs w:val="19"/>
          <w:color w:val="auto"/>
          <w:vertAlign w:val="superscript"/>
        </w:rPr>
      </w:pPr>
    </w:p>
    <w:p>
      <w:pPr>
        <w:jc w:val="both"/>
        <w:ind w:left="180" w:hanging="172"/>
        <w:spacing w:after="0" w:line="226" w:lineRule="auto"/>
        <w:tabs>
          <w:tab w:leader="none" w:pos="311"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Real Estate Investment Trust ("REIT") Warehouse was the warehouse for Figure REIT, Inc. As of March 27, 2026, Figure REIT, Inc. merged with and into VS Evergreen Acquisition Co. L.P.. As a result of the merger, Figure REIT, Inc. is no longer controlled nor consolidated by FTS. See Note 7, “Noncontrolling Interests in Consolidated Subsidiaries”, for further discussion on the merger.</w:t>
      </w:r>
    </w:p>
    <w:p>
      <w:pPr>
        <w:ind w:left="220" w:hanging="212"/>
        <w:spacing w:after="0"/>
        <w:tabs>
          <w:tab w:leader="none" w:pos="22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Warehouse Facility 4 bears interest at SOFR, plus a spread of 3.5% at March 31, 2026. The facility also carries a 0.5% exit fee on all loans repurchased from the facility.</w:t>
      </w:r>
    </w:p>
    <w:p>
      <w:pPr>
        <w:spacing w:after="0" w:line="14" w:lineRule="exact"/>
        <w:rPr>
          <w:rFonts w:ascii="Times New Roman" w:cs="Times New Roman" w:eastAsia="Times New Roman" w:hAnsi="Times New Roman"/>
          <w:sz w:val="9"/>
          <w:szCs w:val="9"/>
          <w:color w:val="auto"/>
        </w:rPr>
      </w:pPr>
    </w:p>
    <w:p>
      <w:pPr>
        <w:ind w:left="240" w:hanging="232"/>
        <w:spacing w:after="0" w:line="192" w:lineRule="auto"/>
        <w:tabs>
          <w:tab w:leader="none" w:pos="24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Warehouse Facility 5 bears interest at SOFR, plus a spread of 2.35%.</w:t>
      </w:r>
    </w:p>
    <w:p>
      <w:pPr>
        <w:spacing w:after="0" w:line="3" w:lineRule="exact"/>
        <w:rPr>
          <w:rFonts w:ascii="Times New Roman" w:cs="Times New Roman" w:eastAsia="Times New Roman" w:hAnsi="Times New Roman"/>
          <w:sz w:val="19"/>
          <w:szCs w:val="19"/>
          <w:color w:val="auto"/>
          <w:vertAlign w:val="superscript"/>
        </w:rPr>
      </w:pPr>
    </w:p>
    <w:p>
      <w:pPr>
        <w:ind w:left="240" w:hanging="232"/>
        <w:spacing w:after="0" w:line="189" w:lineRule="auto"/>
        <w:tabs>
          <w:tab w:leader="none" w:pos="24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Warehouse Facility 6 bears interest at SOFR, subject to a 2.0% floor, plus a spread of 1.75%.</w:t>
      </w:r>
    </w:p>
    <w:p>
      <w:pPr>
        <w:spacing w:after="0" w:line="3" w:lineRule="exact"/>
        <w:rPr>
          <w:rFonts w:ascii="Times New Roman" w:cs="Times New Roman" w:eastAsia="Times New Roman" w:hAnsi="Times New Roman"/>
          <w:sz w:val="19"/>
          <w:szCs w:val="19"/>
          <w:color w:val="auto"/>
          <w:vertAlign w:val="superscript"/>
        </w:rPr>
      </w:pPr>
    </w:p>
    <w:p>
      <w:pPr>
        <w:ind w:left="200" w:hanging="192"/>
        <w:spacing w:after="0" w:line="187" w:lineRule="auto"/>
        <w:tabs>
          <w:tab w:leader="none" w:pos="20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Digital Asset Loan Facility bears interest at a rate of 13.5%.</w:t>
      </w:r>
    </w:p>
    <w:p>
      <w:pPr>
        <w:ind w:left="140" w:hanging="132"/>
        <w:spacing w:after="0"/>
        <w:tabs>
          <w:tab w:leader="none" w:pos="14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MSR Note bears interest at 16.5% per annum and secured by eligible servicing assets, which include servicing fees related to loan servicing rights owned by, or delegated to, the Company.</w:t>
      </w: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 w:hanging="172"/>
        <w:spacing w:after="0" w:line="230" w:lineRule="auto"/>
        <w:tabs>
          <w:tab w:leader="none" w:pos="241"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Under the Retained Interest Facility, the interest accrued on the securities and beneficial interests is payable to the lender during the period the loans are held plus a spread between 0.50% and 0.55%, depending on the tranche to which the Company pledges collateral.</w:t>
      </w:r>
    </w:p>
    <w:p>
      <w:pPr>
        <w:ind w:left="220" w:hanging="212"/>
        <w:spacing w:after="0" w:line="181" w:lineRule="auto"/>
        <w:tabs>
          <w:tab w:leader="none" w:pos="22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maturities of financed retained interests align with the terms of the underlying securities. The financed retained interest have maturity dates through March 2056.</w:t>
      </w:r>
    </w:p>
    <w:p>
      <w:pPr>
        <w:ind w:left="300" w:hanging="292"/>
        <w:spacing w:after="0"/>
        <w:tabs>
          <w:tab w:leader="none" w:pos="30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three months ended March 31, 2026 and 2025, the Company amortized $0.4 million, and $0.3 million, respectively, of deferred financing costs.</w:t>
      </w:r>
    </w:p>
    <w:p>
      <w:pPr>
        <w:spacing w:after="0" w:line="11" w:lineRule="exact"/>
        <w:rPr>
          <w:rFonts w:ascii="Times New Roman" w:cs="Times New Roman" w:eastAsia="Times New Roman" w:hAnsi="Times New Roman"/>
          <w:sz w:val="9"/>
          <w:szCs w:val="9"/>
          <w:color w:val="auto"/>
        </w:rPr>
      </w:pPr>
    </w:p>
    <w:p>
      <w:pPr>
        <w:ind w:left="180" w:right="20" w:hanging="172"/>
        <w:spacing w:after="0" w:line="221" w:lineRule="auto"/>
        <w:tabs>
          <w:tab w:leader="none" w:pos="311"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Interest accrues at a rate of SOFR less 35 basis points based on the face-amount certificates issued by FCC. Certificates mature 20 years from the issue date, but may be surrendered at any time by the holder at face amount, plus accrued interest minus any applicable expenses or fees.</w:t>
      </w:r>
    </w:p>
    <w:p>
      <w:pPr>
        <w:spacing w:after="0" w:line="1" w:lineRule="exact"/>
        <w:rPr>
          <w:rFonts w:ascii="Times New Roman" w:cs="Times New Roman" w:eastAsia="Times New Roman" w:hAnsi="Times New Roman"/>
          <w:sz w:val="19"/>
          <w:szCs w:val="19"/>
          <w:color w:val="auto"/>
          <w:vertAlign w:val="superscript"/>
        </w:rPr>
      </w:pPr>
    </w:p>
    <w:p>
      <w:pPr>
        <w:ind w:left="180" w:hanging="172"/>
        <w:spacing w:after="0" w:line="221" w:lineRule="auto"/>
        <w:tabs>
          <w:tab w:leader="none" w:pos="318"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Interest is accrued at an hourly rate that is agreed upon through a Dutch auction process; during the three months ended March 31, 2026, the average interest rate was 8.1%. YLDS can be redeemed by the holder at face amount, plus accrued interest minus any applicable expenses or fees on demand.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maturities of recourse and nonrecourse debt obligations at March 31, 2026,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Years Ending December 31,</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Recourse</w:t>
            </w: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Nonrecourse</w:t>
            </w:r>
          </w:p>
        </w:tc>
        <w:tc>
          <w:tcPr>
            <w:tcW w:w="340" w:type="dxa"/>
            <w:vAlign w:val="bottom"/>
          </w:tcPr>
          <w:p>
            <w:pPr>
              <w:spacing w:after="0"/>
              <w:rPr>
                <w:sz w:val="16"/>
                <w:szCs w:val="16"/>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6"/>
        </w:trPr>
        <w:tc>
          <w:tcPr>
            <w:tcW w:w="6600" w:type="dxa"/>
            <w:vAlign w:val="bottom"/>
            <w:shd w:val="clear" w:color="auto" w:fill="CCEEFF"/>
          </w:tcPr>
          <w:p>
            <w:pPr>
              <w:jc w:val="right"/>
              <w:ind w:right="6108"/>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44,053</w:t>
            </w:r>
          </w:p>
        </w:tc>
      </w:tr>
      <w:tr>
        <w:trPr>
          <w:trHeight w:val="195"/>
        </w:trPr>
        <w:tc>
          <w:tcPr>
            <w:tcW w:w="6600" w:type="dxa"/>
            <w:vAlign w:val="bottom"/>
          </w:tcPr>
          <w:p>
            <w:pPr>
              <w:jc w:val="right"/>
              <w:ind w:right="6108"/>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10,790</w:t>
            </w:r>
          </w:p>
        </w:tc>
      </w:tr>
      <w:tr>
        <w:trPr>
          <w:trHeight w:val="210"/>
        </w:trPr>
        <w:tc>
          <w:tcPr>
            <w:tcW w:w="6600" w:type="dxa"/>
            <w:vAlign w:val="bottom"/>
            <w:shd w:val="clear" w:color="auto" w:fill="CCEEFF"/>
          </w:tcPr>
          <w:p>
            <w:pPr>
              <w:jc w:val="right"/>
              <w:ind w:right="6108"/>
              <w:spacing w:after="0"/>
              <w:rPr>
                <w:sz w:val="20"/>
                <w:szCs w:val="20"/>
                <w:color w:val="auto"/>
              </w:rPr>
            </w:pPr>
            <w:r>
              <w:rPr>
                <w:rFonts w:ascii="Times New Roman" w:cs="Times New Roman" w:eastAsia="Times New Roman" w:hAnsi="Times New Roman"/>
                <w:sz w:val="14"/>
                <w:szCs w:val="14"/>
                <w:color w:val="auto"/>
              </w:rPr>
              <w:t>2028</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600" w:type="dxa"/>
            <w:vAlign w:val="bottom"/>
          </w:tcPr>
          <w:p>
            <w:pPr>
              <w:jc w:val="right"/>
              <w:ind w:right="6108"/>
              <w:spacing w:after="0"/>
              <w:rPr>
                <w:sz w:val="20"/>
                <w:szCs w:val="20"/>
                <w:color w:val="auto"/>
              </w:rPr>
            </w:pPr>
            <w:r>
              <w:rPr>
                <w:rFonts w:ascii="Times New Roman" w:cs="Times New Roman" w:eastAsia="Times New Roman" w:hAnsi="Times New Roman"/>
                <w:sz w:val="14"/>
                <w:szCs w:val="14"/>
                <w:color w:val="auto"/>
              </w:rPr>
              <w:t>2029</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600" w:type="dxa"/>
            <w:vAlign w:val="bottom"/>
            <w:shd w:val="clear" w:color="auto" w:fill="CCEEFF"/>
          </w:tcPr>
          <w:p>
            <w:pPr>
              <w:jc w:val="right"/>
              <w:ind w:right="6108"/>
              <w:spacing w:after="0"/>
              <w:rPr>
                <w:sz w:val="20"/>
                <w:szCs w:val="20"/>
                <w:color w:val="auto"/>
              </w:rPr>
            </w:pPr>
            <w:r>
              <w:rPr>
                <w:rFonts w:ascii="Times New Roman" w:cs="Times New Roman" w:eastAsia="Times New Roman" w:hAnsi="Times New Roman"/>
                <w:sz w:val="14"/>
                <w:szCs w:val="14"/>
                <w:color w:val="auto"/>
              </w:rPr>
              <w:t>2030</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263,796</w:t>
            </w:r>
          </w:p>
        </w:tc>
      </w:tr>
      <w:tr>
        <w:trPr>
          <w:trHeight w:val="221"/>
        </w:trPr>
        <w:tc>
          <w:tcPr>
            <w:tcW w:w="66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265,367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318,639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 Capacity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borrowing capacity of committed debt facilities that have not matured at March 31, 2026: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Borrowing Capacity</w:t>
            </w:r>
          </w:p>
        </w:tc>
        <w:tc>
          <w:tcPr>
            <w:tcW w:w="8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Balance Outstanding</w:t>
            </w:r>
          </w:p>
        </w:tc>
        <w:tc>
          <w:tcPr>
            <w:tcW w:w="100" w:type="dxa"/>
            <w:vAlign w:val="bottom"/>
          </w:tcPr>
          <w:p>
            <w:pPr>
              <w:spacing w:after="0"/>
              <w:rPr>
                <w:sz w:val="16"/>
                <w:szCs w:val="16"/>
                <w:color w:val="auto"/>
              </w:rPr>
            </w:pPr>
          </w:p>
        </w:tc>
        <w:tc>
          <w:tcPr>
            <w:tcW w:w="13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Available Financing</w:t>
            </w:r>
          </w:p>
        </w:tc>
      </w:tr>
      <w:tr>
        <w:trPr>
          <w:trHeight w:val="189"/>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Funding Debt:</w:t>
            </w:r>
          </w:p>
        </w:tc>
        <w:tc>
          <w:tcPr>
            <w:tcW w:w="1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Warehouse Facility 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147,518</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Warehouse Facility 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334,859</w:t>
            </w: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Warehouse Facility 4</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Warehouse Facility 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299,027</w:t>
            </w: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Warehouse Facility 6</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289,651</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Asset Loan Facility</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29,402</w:t>
            </w:r>
          </w:p>
        </w:tc>
      </w:tr>
      <w:tr>
        <w:trPr>
          <w:trHeight w:val="216"/>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MSR financing:</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Lender 1</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6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Financed retained interests:</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Interest Facility</w:t>
            </w: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263,796</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236,204</w:t>
            </w:r>
          </w:p>
        </w:tc>
      </w:tr>
      <w:tr>
        <w:trPr>
          <w:trHeight w:val="196"/>
        </w:trPr>
        <w:tc>
          <w:tcPr>
            <w:tcW w:w="66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1,905,300</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318,639</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1,586,661</w:t>
            </w:r>
          </w:p>
        </w:tc>
      </w:tr>
      <w:tr>
        <w:trPr>
          <w:trHeight w:val="27"/>
        </w:trPr>
        <w:tc>
          <w:tcPr>
            <w:tcW w:w="6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debt obligations are subject to customary loan covenants, such as minimum tangible net worth, minimum liquidity, maximum leverage ratios, required range of net income or loss during specified periods,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March 31, 2026.</w:t>
      </w:r>
    </w:p>
    <w:p>
      <w:pPr>
        <w:spacing w:after="0" w:line="3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debt facilities that the Company entered into or amended during the three months ended March 31, 2026 and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Warehouse Facility 1</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the Company and its lender amended Warehouse Facility 1 to reduce the borrowing capacity to $150.0 million, expand eligible collateral types, and reduce certain funding costs. The amended facility has an initial maturity date of May 2026, and borrowings under the facility bear interest at a rate of SOFR plus a spread of 2.25%.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Warehouse Facility 2</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2026, the Company and its lender amended Warehouse Facility 2 to extend the facility maturity date to January 2027, and add a facility sub-limit of $50.0 million for certain loan products. No other terms of the facility were amended.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REIT Warehouse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2025, the Company amended the REIT Warehouse to increase the borrowing limit to $200.0 million, extend the maturity date to December 2026, and add an exit fee of 0.15% that is not to exceed $0.5 million in any calendar year. It also amended the interest rate to be SOFR plus a spread of (i) if the average daily aggregate outstanding purchase price for all purchased mortgage loans subject to outstanding transactions during such pricing rate period is greater than or equal to $100.0 million, 3.00% or (ii) if the average daily aggregate outstanding purchase price for all purchased mortgage loans subject to outstanding transactions during such pricing rate period is less than $100.0 million, 3.50%.</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REIT Warehouse was the warehouse for Figure REIT, Inc. As of March 27, 2026, Figure REIT, Inc. merged with and into VS Evergreen Acquisition Co. L.P. As a result of the merger, Figure REIT, Inc. is no longer controlled nor consolidated by FTS. See Note 7, “Noncontrolling Interests in Consolidated Subsidiaries”, for further discussion on the merger.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Warehouse Facility 5</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April 2025, the Company entered into a master repurchase agreement with a major banking institution that contains customary debt covenants, a borrowing capacity of $300.0 million, including $1.0 million in committed capacity, and an initial maturity date in April 2026, with the option to renew at maturity. Borrowings under the facility bear interest at a rate of SOFR plus 2.35%.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Warehouse Facility 6</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2025, the Company executed a master repurchase agreement with a major banking institution that had a facility limit up to $100.0 million, with the option to temporarily upsize to $200.0 million and has an initial maturity date in June 2027 with the option to renew at maturity. Borrowings under the facility bear interest at a rate of SOFR, subject to a floor of 2.0%, plus 1.75% that results in a minimum rate of 3.75%.</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2025, the Company amended Warehouse Facility 6 to permanently increase the facility limit to $200.0 million. In December 2025, the Company amended Warehouse Facility 6 to increase the facility limit to $300.0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Asset Loan Facility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2025, the Company executed a master participation agreement with an asset management firm that allows the Company to grant 100% participation interest for digital asset backed loans it owns. The $30.0 million facility, with the ability to increase to a maximum facility size of $50.0 million, matures in October 2026, bears interest at a rate of 13.5%, and has a purchase period through April 2026.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Retained Interest Facility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amended the Retained Interest Facility to increase the borrowing limit from $250.0 million to $500.0 million, effective as of October 2025.</w:t>
      </w:r>
    </w:p>
    <w:p>
      <w:pPr>
        <w:spacing w:after="0" w:line="200" w:lineRule="exact"/>
        <w:rPr>
          <w:sz w:val="20"/>
          <w:szCs w:val="20"/>
          <w:color w:val="auto"/>
        </w:rPr>
      </w:pPr>
    </w:p>
    <w:p>
      <w:pPr>
        <w:spacing w:after="0" w:line="21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FCC</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FCC had $125.5 million and $73.6 million outstanding face-amount certificates to third parties and related parties, respectively, redeemable upon redemption of YLDS. At December 31, 2025, there were $76.1 million and $2.1 million outstanding face-amount certificates to third parties and related parties, respectively. The certificates entitle the certificate owner to receive, at certificate maturity, a stated amount of money, interest, or credits declared from time to time by FCC, at its discretion. The certificates issued by FCC are not insured by any government agency or other entity.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Democratized Prime YLDS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FCC had $49.1 million and $302.9 million outstanding face-amount certificates to third parties and related parties, respectively, redeemable upon redemption of YLDS. At December 31, 2025, there were $24.4 million and $164.1 million outstanding face-amount certificates to third parties and related parties, respectively. Democratized Prime YLDS represents liabilities where parties have lent YLDS to the Company through the Democratized Prime platform. The Company pays interest based on a rate agreed upon through a Dutch auction process defined within the pool and can be redeemed each hour for YLDS. The YLDS are collateralized by pools of HELOC loans and are not insured by any government agency or other entity.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equity instruments at March 31, 2026 and December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5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r>
      <w:tr>
        <w:trPr>
          <w:trHeight w:val="250"/>
        </w:trPr>
        <w:tc>
          <w:tcPr>
            <w:tcW w:w="55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44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3"/>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Potential Common Shares</w:t>
            </w:r>
            <w:r>
              <w:rPr>
                <w:rFonts w:ascii="Times New Roman" w:cs="Times New Roman" w:eastAsia="Times New Roman" w:hAnsi="Times New Roman"/>
                <w:sz w:val="18"/>
                <w:szCs w:val="18"/>
                <w:b w:val="1"/>
                <w:bCs w:val="1"/>
                <w:color w:val="auto"/>
                <w:vertAlign w:val="superscript"/>
              </w:rPr>
              <w:t>(B)</w:t>
            </w:r>
          </w:p>
        </w:tc>
      </w:tr>
      <w:tr>
        <w:trPr>
          <w:trHeight w:val="196"/>
        </w:trPr>
        <w:tc>
          <w:tcPr>
            <w:tcW w:w="5500" w:type="dxa"/>
            <w:vAlign w:val="bottom"/>
          </w:tcPr>
          <w:p>
            <w:pPr>
              <w:spacing w:after="0"/>
              <w:rPr>
                <w:sz w:val="17"/>
                <w:szCs w:val="17"/>
                <w:color w:val="auto"/>
              </w:rPr>
            </w:pPr>
          </w:p>
        </w:tc>
        <w:tc>
          <w:tcPr>
            <w:tcW w:w="1460" w:type="dxa"/>
            <w:vAlign w:val="bottom"/>
            <w:gridSpan w:val="2"/>
          </w:tcPr>
          <w:p>
            <w:pPr>
              <w:ind w:left="40"/>
              <w:spacing w:after="0" w:line="196" w:lineRule="exact"/>
              <w:rPr>
                <w:sz w:val="20"/>
                <w:szCs w:val="20"/>
                <w:color w:val="auto"/>
              </w:rPr>
            </w:pPr>
            <w:r>
              <w:rPr>
                <w:rFonts w:ascii="Times New Roman" w:cs="Times New Roman" w:eastAsia="Times New Roman" w:hAnsi="Times New Roman"/>
                <w:sz w:val="14"/>
                <w:szCs w:val="14"/>
                <w:b w:val="1"/>
                <w:bCs w:val="1"/>
                <w:color w:val="auto"/>
              </w:rPr>
              <w:t>Authorized Shares</w:t>
            </w:r>
            <w:r>
              <w:rPr>
                <w:rFonts w:ascii="Times New Roman" w:cs="Times New Roman" w:eastAsia="Times New Roman" w:hAnsi="Times New Roman"/>
                <w:sz w:val="18"/>
                <w:szCs w:val="18"/>
                <w:b w:val="1"/>
                <w:bCs w:val="1"/>
                <w:color w:val="auto"/>
                <w:vertAlign w:val="superscript"/>
              </w:rPr>
              <w:t>(A)</w:t>
            </w:r>
          </w:p>
        </w:tc>
        <w:tc>
          <w:tcPr>
            <w:tcW w:w="19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Outstanding Shares</w:t>
            </w: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6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196"/>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1,000,000,000</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180,812,863</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24,253,561</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5,429,391</w:t>
            </w:r>
          </w:p>
        </w:tc>
      </w:tr>
      <w:tr>
        <w:trPr>
          <w:trHeight w:val="19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Commons Stock, $0.0001 par value per share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200,000,000</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37,893,047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7,760,846</w:t>
            </w:r>
          </w:p>
        </w:tc>
        <w:tc>
          <w:tcPr>
            <w:tcW w:w="1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4,934,786</w:t>
            </w:r>
          </w:p>
        </w:tc>
      </w:tr>
      <w:tr>
        <w:trPr>
          <w:trHeight w:val="2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Blockchain Common Stock, $0.0001 par value per share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687,920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$0.0001 par value per share</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100" w:type="dxa"/>
            <w:vAlign w:val="bottom"/>
          </w:tcPr>
          <w:p>
            <w:pPr>
              <w:spacing w:after="0"/>
              <w:rPr>
                <w:sz w:val="19"/>
                <w:szCs w:val="19"/>
                <w:color w:val="auto"/>
              </w:rPr>
            </w:pPr>
          </w:p>
        </w:tc>
        <w:tc>
          <w:tcPr>
            <w:tcW w:w="19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55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219,393,830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32,014,407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10,364,177</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44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4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Issued and</w:t>
            </w:r>
          </w:p>
        </w:tc>
        <w:tc>
          <w:tcPr>
            <w:tcW w:w="80" w:type="dxa"/>
            <w:vAlign w:val="bottom"/>
          </w:tcPr>
          <w:p>
            <w:pPr>
              <w:spacing w:after="0"/>
              <w:rPr>
                <w:sz w:val="21"/>
                <w:szCs w:val="21"/>
                <w:color w:val="auto"/>
              </w:rPr>
            </w:pPr>
          </w:p>
        </w:tc>
        <w:tc>
          <w:tcPr>
            <w:tcW w:w="2980" w:type="dxa"/>
            <w:vAlign w:val="bottom"/>
            <w:tcBorders>
              <w:bottom w:val="single" w:sz="8" w:color="auto"/>
            </w:tcBorders>
            <w:gridSpan w:val="5"/>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w w:val="99"/>
              </w:rPr>
              <w:t>Potential Common Shares</w:t>
            </w:r>
            <w:r>
              <w:rPr>
                <w:rFonts w:ascii="Times New Roman" w:cs="Times New Roman" w:eastAsia="Times New Roman" w:hAnsi="Times New Roman"/>
                <w:sz w:val="18"/>
                <w:szCs w:val="18"/>
                <w:b w:val="1"/>
                <w:bCs w:val="1"/>
                <w:color w:val="auto"/>
                <w:w w:val="99"/>
                <w:vertAlign w:val="superscript"/>
              </w:rPr>
              <w:t>(B)</w:t>
            </w:r>
          </w:p>
        </w:tc>
        <w:tc>
          <w:tcPr>
            <w:tcW w:w="940" w:type="dxa"/>
            <w:vAlign w:val="bottom"/>
            <w:tcBorders>
              <w:bottom w:val="single" w:sz="8" w:color="auto"/>
            </w:tcBorders>
          </w:tcPr>
          <w:p>
            <w:pPr>
              <w:spacing w:after="0"/>
              <w:rPr>
                <w:sz w:val="21"/>
                <w:szCs w:val="21"/>
                <w:color w:val="auto"/>
              </w:rPr>
            </w:pPr>
          </w:p>
        </w:tc>
      </w:tr>
      <w:tr>
        <w:trPr>
          <w:trHeight w:val="196"/>
        </w:trPr>
        <w:tc>
          <w:tcPr>
            <w:tcW w:w="4400" w:type="dxa"/>
            <w:vAlign w:val="bottom"/>
          </w:tcPr>
          <w:p>
            <w:pPr>
              <w:spacing w:after="0"/>
              <w:rPr>
                <w:sz w:val="17"/>
                <w:szCs w:val="17"/>
                <w:color w:val="auto"/>
              </w:rPr>
            </w:pPr>
          </w:p>
        </w:tc>
        <w:tc>
          <w:tcPr>
            <w:tcW w:w="1460" w:type="dxa"/>
            <w:vAlign w:val="bottom"/>
            <w:gridSpan w:val="2"/>
          </w:tcPr>
          <w:p>
            <w:pPr>
              <w:ind w:left="60"/>
              <w:spacing w:after="0" w:line="196" w:lineRule="exact"/>
              <w:rPr>
                <w:sz w:val="20"/>
                <w:szCs w:val="20"/>
                <w:color w:val="auto"/>
              </w:rPr>
            </w:pPr>
            <w:r>
              <w:rPr>
                <w:rFonts w:ascii="Times New Roman" w:cs="Times New Roman" w:eastAsia="Times New Roman" w:hAnsi="Times New Roman"/>
                <w:sz w:val="14"/>
                <w:szCs w:val="14"/>
                <w:b w:val="1"/>
                <w:bCs w:val="1"/>
                <w:color w:val="auto"/>
              </w:rPr>
              <w:t>Authorized Shares</w:t>
            </w:r>
            <w:r>
              <w:rPr>
                <w:rFonts w:ascii="Times New Roman" w:cs="Times New Roman" w:eastAsia="Times New Roman" w:hAnsi="Times New Roman"/>
                <w:sz w:val="18"/>
                <w:szCs w:val="18"/>
                <w:b w:val="1"/>
                <w:bCs w:val="1"/>
                <w:color w:val="auto"/>
                <w:vertAlign w:val="superscript"/>
              </w:rPr>
              <w:t>(A)</w:t>
            </w: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Outstanding Shares</w:t>
            </w:r>
          </w:p>
        </w:tc>
        <w:tc>
          <w:tcPr>
            <w:tcW w:w="80" w:type="dxa"/>
            <w:vAlign w:val="bottom"/>
          </w:tcPr>
          <w:p>
            <w:pPr>
              <w:spacing w:after="0"/>
              <w:rPr>
                <w:sz w:val="17"/>
                <w:szCs w:val="17"/>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6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196"/>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 $0.0001 par value per share</w:t>
            </w:r>
          </w:p>
        </w:tc>
        <w:tc>
          <w:tcPr>
            <w:tcW w:w="13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1,000,000,000</w:t>
            </w:r>
          </w:p>
        </w:tc>
        <w:tc>
          <w:tcPr>
            <w:tcW w:w="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178,485,407</w:t>
            </w:r>
          </w:p>
        </w:tc>
        <w:tc>
          <w:tcPr>
            <w:tcW w:w="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183,333</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25,741,803</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4,974,764</w:t>
            </w:r>
          </w:p>
        </w:tc>
      </w:tr>
      <w:tr>
        <w:trPr>
          <w:trHeight w:val="19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Commons Stock, $0.0001 par value per share</w:t>
            </w: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200,000,000</w:t>
            </w:r>
          </w:p>
        </w:tc>
        <w:tc>
          <w:tcPr>
            <w:tcW w:w="8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37,893,047</w:t>
            </w: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7,760,846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5,134,845</w:t>
            </w:r>
          </w:p>
        </w:tc>
      </w:tr>
      <w:tr>
        <w:trPr>
          <w:trHeight w:val="21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Blockchain Common Stock, $0.0001 par value per share</w:t>
            </w: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500,000,000</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$0.0001 par value per share</w:t>
            </w: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100,000,000</w:t>
            </w:r>
          </w:p>
        </w:tc>
        <w:tc>
          <w:tcPr>
            <w:tcW w:w="8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4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1,800,000,000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216,378,454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33,502,649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10,109,609</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80" w:hanging="172"/>
        <w:spacing w:after="0" w:line="271" w:lineRule="auto"/>
        <w:tabs>
          <w:tab w:leader="none" w:pos="294" w:val="left"/>
        </w:tabs>
        <w:numPr>
          <w:ilvl w:val="0"/>
          <w:numId w:val="2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authorized by the Company’s Charter. The holders of Class A common stock and Blockchain common stock are entitled to one vote for each share of common stock held. The holders of Class B common stock are entitled to ten votes for each share of common stock held.</w:t>
      </w:r>
    </w:p>
    <w:p>
      <w:pPr>
        <w:ind w:left="280" w:hanging="272"/>
        <w:spacing w:after="0" w:line="192" w:lineRule="auto"/>
        <w:tabs>
          <w:tab w:leader="none" w:pos="28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the equity instruments of the 2018 Equity Incentive Plan, the 2024 Equity Incentive Plan, and the 2025 Incentive Award Plan.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the Company issued warrants to purchase up to 411,219, 411,219, and 1,644,881 Series E convertible preferred shares to an existing convertible preferred shareholder in exchange for a software license, one year of software development services, and up to two years of other services, respectively, for a total of 2,467,319 shares at an exercise price of $3.23 per share. All of the warrants have been earned and exercised as of March 31, 2026 into Class A common stock.</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recognized equity-based expense within “Technology and product development” in the Condensed Consolidated Statements of Operations of $2.9 million related to the warrants. There was zero equity-based expense for warrants for the three months ended March 31, 2026.</w:t>
      </w:r>
    </w:p>
    <w:p>
      <w:pPr>
        <w:spacing w:after="0" w:line="3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grants equity-based compensation in the form of options and RSUs for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 The Company grants RSUs to employees and members of the board which vest subject to either (i) continued service, or (ii) continued service and a market condition tied to the Company’s share price over defined performance periods. The Company only granted RSUs which vest solely subject to continued service during the three months ended March 31, 2026.</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stock-based compensation for service-based RSUs on a straight-line basis over the requisite service period, which is generally the vesting period. The Company recognizes expense only for the stock-based awards that ultimately vest, and accounts for forfeitures of stock-based awards as those forfeitures occur. The following table presents the amount of stock-based compensation expense related to equity-based compensation recognized in the Condensed Consolidated Statements of Operations: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r>
      <w:tr>
        <w:trPr>
          <w:trHeight w:val="203"/>
        </w:trPr>
        <w:tc>
          <w:tcPr>
            <w:tcW w:w="81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Technology and product development</w:t>
            </w:r>
            <w:r>
              <w:rPr>
                <w:rFonts w:ascii="Times New Roman" w:cs="Times New Roman" w:eastAsia="Times New Roman" w:hAnsi="Times New Roman"/>
                <w:sz w:val="18"/>
                <w:szCs w:val="18"/>
                <w:color w:val="auto"/>
                <w:vertAlign w:val="superscript"/>
              </w:rPr>
              <w:t>(A)</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3,459</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Operations and processing</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228"/>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equity-based compensation expense</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hanging="172"/>
        <w:spacing w:after="0" w:line="221" w:lineRule="auto"/>
        <w:tabs>
          <w:tab w:leader="none" w:pos="294"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Technology and product development has been corrected to include $2.9 million of equity-based expense for warrants for the three months ended March 31, 2025. There is zero equity-based expense for warrants for the three months ended March 31,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 Equity Incentive Plan</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2018, the Company adopted the 2018 Equity Incentive Plan (as amended and/or restated, the “2018 Plan”) that authorized the Company to grant awards of up to 52,346,283 shares of common stock of FTS to FTS’ employees, non-employees, officers, and directors in the form of incentive stock options, non-qualified stock options, stock appreciation rights, restricted stock and RSUs. Each award outstanding under the 2018 Plan continues to be governed by the terms and conditions of the 2018 Plan. In connection with the IPO, the 2018 Plan awards were amended to cover shares of Class A common stock (or, if determined by the plan administrator, Class B common stock). As of December 31, 2025 the Company had granted awards equivalent to 56,462,313 shares of common stock, gross of forfeited and cancelled shares that could be recycled back into authorized shares under the 2018 Plan. In connection with the IPO, the Company froze the 2018 Plan and no new awards will be granted under the 2018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Equity Incentive Plan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FMH adopted the 2024 Equity Incentive Plan (as amended and/or restated, the “2024 Plan”) that authorized FMH to grant awards of up to 4,635,234 shares of common stock of FMH to FMH employees, non-employees, officers, and directors in the form of incentive stock options, non-qualified stock options, stock appreciation rights, restricted stock and RSUs. As part of the Recombination, the Company assumed the 2024 Plan and all options outstanding thereunder as of the Recombination Date, and such outstanding options were converted to options of FTS. As of December 31, 2025 the Company had granted option awards equivalent to 3,172,306 shares of common stock, gross of forfeited and cancelled awards under the 2024 Plan. There were no RSUs granted under the 2024 Plan. In connection with the IPO, the Company froze the 2024 Plan and no new awards will be granted under 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Incentive Award Plan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IPO, the Company adopted the 2025 Incentive Award Plan (as amended and/or restated, the “2025 Plan”) in order to facilitate the grant of equity incentives to directors, employees (including named officers), and consultants of the Company. The 2025 Plan authorizes the issuance of 22,985,926 of Class A or Class B common stock of FTS, subject to an automatic increase on January 1 of each calendar year from January 1, 2026 through and including January 1, 2035, by a number of shares equal to the lesser of (i) 5% of the total shares of the aggregate number of shares of Class A common</w:t>
      </w:r>
    </w:p>
    <w:p>
      <w:pPr>
        <w:spacing w:after="0" w:line="36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and Class B common stock outstanding (on an as-converted basis) as of the last day of the immediately preceding fiscal year and (ii) such smaller number of shares as determined by the board. Awards under the 2025 Plan may be granted in the form of incentive stock options, non-qualified stock options, stock appreciation rights, restricted stock, RSUs, stock payments, and other incentive awards and cash awards. As of March 31, 2026, the Company had granted awards equivalent to 1,979,036 and 8,535,845 shares of Class A and Class B common stock, respectively, and as of December 31, 2025 1,017,792 and 8,535,845 shares of Class A and Class B common stock, respectively, gross of forfeited and delivered awards under the 2025 Plan.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Employee Stock Purchase Plan (“ESPP”)</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IPO, the Company adopted the ESPP under which eligible employees may purchase shares of Class A common stock of FTS, up to a maximum percentage of their eligible compensation (which shall be 20% unless otherwise specified in an applicable offering document), subject to certain IRS and share purchase limitations, at 85% of the lower of the closing price (fair market value) of a share of FTS on the first day of the offering period or the purchase date, whichever is lower. As of March 31, 2026, there have been no offering periods under the ESPP program.</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maximum aggregate number of shares that may be subject to awards and sold under the ESPP is 2,133,961 shares, subject to an automatic annual increase on the first day of each calendar year beginning in 2026 and ending on and including January 1, 2035 in an amount equal to the lesser of (i) one percent (1%) of the aggregate number of shares of Class A common stock and Class B common stock of FTS outstanding (on an as-converted basis) on the final day of the immediately preceding calendar year and (ii) such smaller number of shares as determined by the Board.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Compensation Expense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the Company has not yet recognized compensation expense for the following awards: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3080" w:type="dxa"/>
            <w:vAlign w:val="bottom"/>
            <w:gridSpan w:val="2"/>
            <w:vMerge w:val="restart"/>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Unrecognized Compensation</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308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660" w:type="dxa"/>
            <w:vAlign w:val="bottom"/>
          </w:tcPr>
          <w:p>
            <w:pPr>
              <w:spacing w:after="0"/>
              <w:rPr>
                <w:sz w:val="11"/>
                <w:szCs w:val="11"/>
                <w:color w:val="auto"/>
              </w:rPr>
            </w:pPr>
          </w:p>
        </w:tc>
        <w:tc>
          <w:tcPr>
            <w:tcW w:w="3080" w:type="dxa"/>
            <w:vAlign w:val="bottom"/>
            <w:gridSpan w:val="2"/>
          </w:tcPr>
          <w:p>
            <w:pPr>
              <w:jc w:val="center"/>
              <w:ind w:left="1128"/>
              <w:spacing w:after="0" w:line="127" w:lineRule="exact"/>
              <w:rPr>
                <w:sz w:val="20"/>
                <w:szCs w:val="20"/>
                <w:color w:val="auto"/>
              </w:rPr>
            </w:pPr>
            <w:r>
              <w:rPr>
                <w:rFonts w:ascii="Times New Roman" w:cs="Times New Roman" w:eastAsia="Times New Roman" w:hAnsi="Times New Roman"/>
                <w:sz w:val="14"/>
                <w:szCs w:val="14"/>
                <w:b w:val="1"/>
                <w:bCs w:val="1"/>
                <w:color w:val="auto"/>
              </w:rPr>
              <w:t>Recognition Period</w:t>
            </w: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vMerge w:val="continue"/>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Vesting Condition</w:t>
            </w:r>
          </w:p>
        </w:tc>
        <w:tc>
          <w:tcPr>
            <w:tcW w:w="3080" w:type="dxa"/>
            <w:vAlign w:val="bottom"/>
            <w:gridSpan w:val="2"/>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1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6"/>
                <w:szCs w:val="16"/>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202"/>
        </w:trPr>
        <w:tc>
          <w:tcPr>
            <w:tcW w:w="2660" w:type="dxa"/>
            <w:vAlign w:val="bottom"/>
            <w:tcBorders>
              <w:top w:val="single" w:sz="8" w:color="auto"/>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Time-based</w:t>
            </w:r>
            <w:r>
              <w:rPr>
                <w:rFonts w:ascii="Times New Roman" w:cs="Times New Roman" w:eastAsia="Times New Roman" w:hAnsi="Times New Roman"/>
                <w:sz w:val="18"/>
                <w:szCs w:val="18"/>
                <w:color w:val="auto"/>
                <w:vertAlign w:val="superscript"/>
              </w:rPr>
              <w:t>(A)</w:t>
            </w:r>
          </w:p>
        </w:tc>
        <w:tc>
          <w:tcPr>
            <w:tcW w:w="2980" w:type="dxa"/>
            <w:vAlign w:val="bottom"/>
            <w:tcBorders>
              <w:top w:val="single" w:sz="8" w:color="auto"/>
            </w:tcBorders>
            <w:shd w:val="clear" w:color="auto" w:fill="CCEEFF"/>
          </w:tcPr>
          <w:p>
            <w:pPr>
              <w:jc w:val="center"/>
              <w:ind w:left="1248"/>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8,438,209</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4,505,985</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12,944,194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125,153</w:t>
            </w: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Multiple</w:t>
            </w:r>
            <w:r>
              <w:rPr>
                <w:rFonts w:ascii="Times New Roman" w:cs="Times New Roman" w:eastAsia="Times New Roman" w:hAnsi="Times New Roman"/>
                <w:sz w:val="18"/>
                <w:szCs w:val="18"/>
                <w:color w:val="auto"/>
                <w:vertAlign w:val="superscript"/>
              </w:rPr>
              <w:t>(A)(B)</w:t>
            </w:r>
          </w:p>
        </w:tc>
        <w:tc>
          <w:tcPr>
            <w:tcW w:w="2980" w:type="dxa"/>
            <w:vAlign w:val="bottom"/>
          </w:tcPr>
          <w:p>
            <w:pPr>
              <w:jc w:val="center"/>
              <w:ind w:left="1248"/>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5,926,680</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5,926,680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40,359</w:t>
            </w:r>
          </w:p>
        </w:tc>
        <w:tc>
          <w:tcPr>
            <w:tcW w:w="0" w:type="dxa"/>
            <w:vAlign w:val="bottom"/>
          </w:tcPr>
          <w:p>
            <w:pPr>
              <w:spacing w:after="0"/>
              <w:rPr>
                <w:sz w:val="1"/>
                <w:szCs w:val="1"/>
                <w:color w:val="auto"/>
              </w:rPr>
            </w:pPr>
          </w:p>
        </w:tc>
      </w:tr>
      <w:tr>
        <w:trPr>
          <w:trHeight w:val="221"/>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8,438,209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10,432,665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18,870,874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165,512</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80" w:hanging="272"/>
        <w:spacing w:after="0"/>
        <w:tabs>
          <w:tab w:leader="none" w:pos="28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Awards typically vest over a period of 1 to 4 years and awards generally have a one year cliff vesting feature with quarterly vesting thereafter.</w:t>
      </w:r>
    </w:p>
    <w:p>
      <w:pPr>
        <w:ind w:left="280" w:hanging="272"/>
        <w:spacing w:after="0"/>
        <w:tabs>
          <w:tab w:leader="none" w:pos="280" w:val="left"/>
        </w:tabs>
        <w:numPr>
          <w:ilvl w:val="0"/>
          <w:numId w:val="2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Awards include a service period vesting condition as well as market based and liquidity-based vesting conditions. The liquidity event for awards which have that feature has been satisfied in</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connection with the IPO.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25, 2026, the Company’s Board of Directors authorized a program under which the Company may repurchase up to $200 million of its Class A common stock and Blockchain common stock over the next 12 months subject to market conditions, contractual restrictions and other factors (the “Share Repurchase Program”).</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Repurchases under the Share Repurchase Program may be made from time to time in the open market, through privately negotiated transactions, accelerated share repurchase transactions, or by other means in accordance with applicable securities laws and regulations. The timing, number of shares repurchased, and prices paid will depend on market conditions, share price, trading volume, corporate considerations, and other factors. Open market repurchases will be structured to occur within the pricing and volume requirements of Rule 10b-18. The Company also treats shares of common stock withheld for tax purposes on behalf of employees in connection with the vesting of RSUs as common stock repurchases because they reduce the number of shares that would have been issued upon vesting. These withheld shares of common stock are considered common stock repurchases under our authorized common stock repurchase program. The Company may also, from time to time, enter into Rule 10b5-1 plans to facilitate repurchases of its shares under this authorization.</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Share Repurchase Program does not obligate the Company to acquire any particular amount of stock and the program may be extended, modified, suspended or discontinued at any time at the Company’s discretion.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any stock under the Share Repurchase Program during the three months ended March 31, 2026.</w:t>
      </w:r>
    </w:p>
    <w:p>
      <w:pPr>
        <w:spacing w:after="0" w:line="200" w:lineRule="exact"/>
        <w:rPr>
          <w:sz w:val="20"/>
          <w:szCs w:val="20"/>
          <w:color w:val="auto"/>
        </w:rPr>
      </w:pPr>
    </w:p>
    <w:p>
      <w:pPr>
        <w:spacing w:after="0" w:line="21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 in Consolidated Subsidiaries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amounts relate to equity interests held by third-party investors in a real estate investment trust subsidiary, Figure REIT, Inc. (“Figure REIT”) and the Figure Markets Offshore Opportunity Investment Fund L.P. (“Offshore Solana Fund”) both of which the Company consolidates, but does not wholly-own.</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27, 2026, Figure REIT merged with and into the VS Evergreen Acquisition Co. L.P., a subsidiary of VS Evergreen Financing Fund LP. The surviving entity is VS Evergreen Acquisition Co. L.P., a Delaware limited partnership ("Evergreen"). The Company redeemed all issued and outstanding shares of the 12.0% Series A Redeemable Cumulative Preferred Stock for $1,019 per share and the shares are considered cancelled and no longer outstanding. Each outstanding share of the Company’s voting and non-voting common stock held by Figure REIT stockholders immediately prior to the effective time was converted on a one-for-one basis into Evergreen fund units. As a result of the merger, Figure REIT is no longer controlled by FTS, as FTS’s ownership interests have moved into VS Evergreen Financing Fund LP and FTS is not the primary beneficiary of VS Evergreen Financing Fund LP. The Company did not recognize a gain or loss on the transaction, and the Company’s new investment in the Evergreen Funds is disclosed in Note 3, “Equity Investments”.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noncontrolling interests included in net income (loss) are computed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6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80" w:type="dxa"/>
            <w:vAlign w:val="bottom"/>
          </w:tcPr>
          <w:p>
            <w:pPr>
              <w:spacing w:after="0"/>
              <w:rPr>
                <w:sz w:val="11"/>
                <w:szCs w:val="11"/>
                <w:color w:val="auto"/>
              </w:rPr>
            </w:pPr>
          </w:p>
        </w:tc>
        <w:tc>
          <w:tcPr>
            <w:tcW w:w="9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4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1"/>
                <w:szCs w:val="11"/>
                <w:color w:val="auto"/>
              </w:rPr>
            </w:pPr>
          </w:p>
        </w:tc>
        <w:tc>
          <w:tcPr>
            <w:tcW w:w="156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0" w:type="dxa"/>
            <w:vAlign w:val="bottom"/>
          </w:tcPr>
          <w:p>
            <w:pPr>
              <w:spacing w:after="0"/>
              <w:rPr>
                <w:sz w:val="1"/>
                <w:szCs w:val="1"/>
                <w:color w:val="auto"/>
              </w:rPr>
            </w:pPr>
          </w:p>
        </w:tc>
      </w:tr>
      <w:tr>
        <w:trPr>
          <w:trHeight w:val="146"/>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Interest as a % of</w:t>
            </w:r>
          </w:p>
        </w:tc>
        <w:tc>
          <w:tcPr>
            <w:tcW w:w="174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 Income of Consolidated</w:t>
            </w:r>
          </w:p>
        </w:tc>
        <w:tc>
          <w:tcPr>
            <w:tcW w:w="980" w:type="dxa"/>
            <w:vAlign w:val="bottom"/>
            <w:gridSpan w:val="3"/>
            <w:vMerge w:val="continue"/>
          </w:tcPr>
          <w:p>
            <w:pPr>
              <w:spacing w:after="0"/>
              <w:rPr>
                <w:sz w:val="12"/>
                <w:szCs w:val="12"/>
                <w:color w:val="auto"/>
              </w:rPr>
            </w:pPr>
          </w:p>
        </w:tc>
        <w:tc>
          <w:tcPr>
            <w:tcW w:w="14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Interest as a % of</w:t>
            </w:r>
          </w:p>
        </w:tc>
        <w:tc>
          <w:tcPr>
            <w:tcW w:w="16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 Income of Consolidated</w:t>
            </w: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9"/>
                <w:szCs w:val="9"/>
                <w:b w:val="1"/>
                <w:bCs w:val="1"/>
                <w:color w:val="auto"/>
              </w:rPr>
              <w:t>(A)</w:t>
            </w:r>
          </w:p>
        </w:tc>
        <w:tc>
          <w:tcPr>
            <w:tcW w:w="24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r>
              <w:rPr>
                <w:rFonts w:ascii="Times New Roman" w:cs="Times New Roman" w:eastAsia="Times New Roman" w:hAnsi="Times New Roman"/>
                <w:sz w:val="9"/>
                <w:szCs w:val="9"/>
                <w:b w:val="1"/>
                <w:bCs w:val="1"/>
                <w:color w:val="auto"/>
              </w:rPr>
              <w:t>(B)</w:t>
            </w:r>
          </w:p>
        </w:tc>
        <w:tc>
          <w:tcPr>
            <w:tcW w:w="18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Total</w:t>
            </w:r>
            <w:r>
              <w:rPr>
                <w:rFonts w:ascii="Times New Roman" w:cs="Times New Roman" w:eastAsia="Times New Roman" w:hAnsi="Times New Roman"/>
                <w:sz w:val="9"/>
                <w:szCs w:val="9"/>
                <w:b w:val="1"/>
                <w:bCs w:val="1"/>
                <w:color w:val="auto"/>
                <w:w w:val="99"/>
              </w:rPr>
              <w:t>(A)</w:t>
            </w:r>
          </w:p>
        </w:tc>
        <w:tc>
          <w:tcPr>
            <w:tcW w:w="100" w:type="dxa"/>
            <w:vAlign w:val="bottom"/>
          </w:tcPr>
          <w:p>
            <w:pPr>
              <w:spacing w:after="0"/>
              <w:rPr>
                <w:sz w:val="17"/>
                <w:szCs w:val="17"/>
                <w:color w:val="auto"/>
              </w:rPr>
            </w:pPr>
          </w:p>
        </w:tc>
        <w:tc>
          <w:tcPr>
            <w:tcW w:w="15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Subsidiaries</w:t>
            </w:r>
            <w:r>
              <w:rPr>
                <w:rFonts w:ascii="Times New Roman" w:cs="Times New Roman" w:eastAsia="Times New Roman" w:hAnsi="Times New Roman"/>
                <w:sz w:val="9"/>
                <w:szCs w:val="9"/>
                <w:b w:val="1"/>
                <w:bCs w:val="1"/>
                <w:color w:val="auto"/>
              </w:rPr>
              <w:t>(B)</w:t>
            </w:r>
          </w:p>
        </w:tc>
        <w:tc>
          <w:tcPr>
            <w:tcW w:w="0" w:type="dxa"/>
            <w:vAlign w:val="bottom"/>
          </w:tcPr>
          <w:p>
            <w:pPr>
              <w:spacing w:after="0"/>
              <w:rPr>
                <w:sz w:val="1"/>
                <w:szCs w:val="1"/>
                <w:color w:val="auto"/>
              </w:rPr>
            </w:pPr>
          </w:p>
        </w:tc>
      </w:tr>
      <w:tr>
        <w:trPr>
          <w:trHeight w:val="20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Figure REIT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center"/>
              <w:ind w:left="1148"/>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Offshore Solana Fund</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144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(6,536)</w:t>
            </w:r>
          </w:p>
        </w:tc>
        <w:tc>
          <w:tcPr>
            <w:tcW w:w="100" w:type="dxa"/>
            <w:vAlign w:val="bottom"/>
            <w:tcBorders>
              <w:bottom w:val="single" w:sz="8" w:color="CCEEFF"/>
            </w:tcBorders>
          </w:tcPr>
          <w:p>
            <w:pPr>
              <w:spacing w:after="0"/>
              <w:rPr>
                <w:sz w:val="17"/>
                <w:szCs w:val="17"/>
                <w:color w:val="auto"/>
              </w:rPr>
            </w:pPr>
          </w:p>
        </w:tc>
        <w:tc>
          <w:tcPr>
            <w:tcW w:w="1340" w:type="dxa"/>
            <w:vAlign w:val="bottom"/>
            <w:tcBorders>
              <w:bottom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left="1128"/>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227"/>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center"/>
              <w:ind w:left="1148"/>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180" w:hanging="172"/>
        <w:spacing w:after="0" w:line="221" w:lineRule="auto"/>
        <w:tabs>
          <w:tab w:leader="none" w:pos="241"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weighted average percentage of total noncontrolling shareholders’ net income (loss) in consolidated subsidiaries throughout the period, which may not agree to the percentages as calculated based on the ending balances presented above.</w:t>
      </w:r>
    </w:p>
    <w:p>
      <w:pPr>
        <w:ind w:left="220" w:hanging="212"/>
        <w:spacing w:after="0"/>
        <w:tabs>
          <w:tab w:leader="none" w:pos="22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Balances may not cross-foot due to rounding for presentation purposes in the Noncontrolling Interest as a Percent of Total shown.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noncontrolling interests in the equity of consolidated subsidiaries are computed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3"/>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360" w:type="dxa"/>
            <w:vAlign w:val="bottom"/>
            <w:tcBorders>
              <w:top w:val="single" w:sz="8" w:color="auto"/>
            </w:tcBorders>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780" w:type="dxa"/>
            <w:vAlign w:val="bottom"/>
            <w:tcBorders>
              <w:top w:val="single" w:sz="8" w:color="auto"/>
            </w:tcBorders>
            <w:gridSpan w:val="3"/>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360" w:type="dxa"/>
            <w:vAlign w:val="bottom"/>
            <w:tcBorders>
              <w:top w:val="single" w:sz="8" w:color="auto"/>
            </w:tcBorders>
          </w:tcPr>
          <w:p>
            <w:pPr>
              <w:jc w:val="center"/>
              <w:ind w:right="28"/>
              <w:spacing w:after="0" w:line="131"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6"/>
        </w:trPr>
        <w:tc>
          <w:tcPr>
            <w:tcW w:w="2260" w:type="dxa"/>
            <w:vAlign w:val="bottom"/>
          </w:tcPr>
          <w:p>
            <w:pPr>
              <w:spacing w:after="0"/>
              <w:rPr>
                <w:sz w:val="12"/>
                <w:szCs w:val="12"/>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10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4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Interest in Equity of</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8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36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Interest in Equity of</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3"/>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Ownership Interest as a</w:t>
            </w:r>
          </w:p>
        </w:tc>
        <w:tc>
          <w:tcPr>
            <w:tcW w:w="1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3"/>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Ownership Interest as a</w:t>
            </w:r>
          </w:p>
        </w:tc>
        <w:tc>
          <w:tcPr>
            <w:tcW w:w="13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7"/>
                <w:szCs w:val="17"/>
                <w:color w:val="auto"/>
              </w:rPr>
            </w:pPr>
          </w:p>
        </w:tc>
        <w:tc>
          <w:tcPr>
            <w:tcW w:w="176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60" w:type="dxa"/>
            <w:vAlign w:val="bottom"/>
          </w:tcPr>
          <w:p>
            <w:pPr>
              <w:spacing w:after="0"/>
              <w:rPr>
                <w:sz w:val="17"/>
                <w:szCs w:val="17"/>
                <w:color w:val="auto"/>
              </w:rPr>
            </w:pPr>
          </w:p>
        </w:tc>
        <w:tc>
          <w:tcPr>
            <w:tcW w:w="9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7"/>
                <w:szCs w:val="17"/>
                <w:color w:val="auto"/>
              </w:rPr>
            </w:pPr>
          </w:p>
        </w:tc>
        <w:tc>
          <w:tcPr>
            <w:tcW w:w="178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Percent of Total</w:t>
            </w:r>
          </w:p>
        </w:tc>
        <w:tc>
          <w:tcPr>
            <w:tcW w:w="13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201"/>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Figure REIT</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18,217</w:t>
            </w:r>
          </w:p>
        </w:tc>
        <w:tc>
          <w:tcPr>
            <w:tcW w:w="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w:t>
            </w:r>
          </w:p>
        </w:tc>
        <w:tc>
          <w:tcPr>
            <w:tcW w:w="0" w:type="dxa"/>
            <w:vAlign w:val="bottom"/>
          </w:tcPr>
          <w:p>
            <w:pPr>
              <w:spacing w:after="0"/>
              <w:rPr>
                <w:sz w:val="1"/>
                <w:szCs w:val="1"/>
                <w:color w:val="auto"/>
              </w:rPr>
            </w:pPr>
          </w:p>
        </w:tc>
      </w:tr>
      <w:tr>
        <w:trPr>
          <w:trHeight w:val="196"/>
        </w:trPr>
        <w:tc>
          <w:tcPr>
            <w:tcW w:w="2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Offshore Solana Fund</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6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6,602</w:t>
            </w:r>
          </w:p>
        </w:tc>
        <w:tc>
          <w:tcPr>
            <w:tcW w:w="1660" w:type="dxa"/>
            <w:vAlign w:val="bottom"/>
            <w:tcBorders>
              <w:bottom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28"/>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24,819</w:t>
            </w:r>
          </w:p>
        </w:tc>
        <w:tc>
          <w:tcPr>
            <w:tcW w:w="8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8,364</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NET INCOME (LOSS) PER SHARE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attributable to the Company by the weighted-average number of shares of common stock outstanding during the period. Diluted net income (loss) per share is computed by dividing net income (loss) attributable to the Company by the weighted-average number of shares of common stock outstanding adjusted to give effect to potentially dilutive securities.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net income (loss) per share reflects the dilutive effect of potential common shares from share-based awards, warrants and convertible preferred stock. The treasury stock method is used to calculate the dilutive effect of outstanding share-based awards and warrants, which assumes the proceeds upon vesting or exercise would be used to purchase common stock at the average price for the period.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(loss) per share is computed using the two-class method which is required for multiple classes of common stock and participating securities. In historical periods where the Company had outstanding convertible preferred stock, net income (loss) attributable to FTS is first allocated to the convertible preferred stock based on their dividend preference. Any remaining net income (loss) attributable to FTS is then allocated to common stockholders and preferred stockholders using the if-converted method. All preferred stock was convertible on a 1:1 basis to common stock.</w:t>
      </w:r>
    </w:p>
    <w:p>
      <w:pPr>
        <w:spacing w:after="0" w:line="35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29</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rights, including the liquidation and dividend rights and sharing of losses, of the Class A common stock, Blockchain common stock, and Class B common stock are identical, other than voting rights. As the liquidation and dividend rights and sharing of profits are identical, the undistributed earnings are allocated on a proportionate basis for those classes and the resulting net income (loss) per share will, therefore, be the same for Class A common stock, Blockchain common stock, and Class B common stock on an individual or combined basis, and they have been combined as common shares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net income (loss) per common share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95"/>
        </w:trPr>
        <w:tc>
          <w:tcPr>
            <w:tcW w:w="8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FTS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44,945</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203"/>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Undistributed earnings attributable to convertible preferred stockholders</w:t>
            </w: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 attributable to common stockholders, basic and diluted</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44,945</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8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195"/>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 weighted average common shares attributable to FTS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217,277,605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69,398,649</w:t>
            </w:r>
          </w:p>
        </w:tc>
      </w:tr>
      <w:tr>
        <w:trPr>
          <w:trHeight w:val="203"/>
        </w:trPr>
        <w:tc>
          <w:tcPr>
            <w:tcW w:w="8520" w:type="dxa"/>
            <w:vAlign w:val="bottom"/>
            <w:tcBorders>
              <w:bottom w:val="single" w:sz="8" w:color="CCEEFF"/>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Add: effect of dilutive securities related to share-based payment awards </w:t>
            </w:r>
            <w:r>
              <w:rPr>
                <w:rFonts w:ascii="Times New Roman" w:cs="Times New Roman" w:eastAsia="Times New Roman" w:hAnsi="Times New Roman"/>
                <w:sz w:val="18"/>
                <w:szCs w:val="18"/>
                <w:color w:val="auto"/>
                <w:vertAlign w:val="superscript"/>
              </w:rPr>
              <w:t>(A)</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31,552,067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8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 weighted average common shares attributable to FTS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248,829,672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69,398,649</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attributable to FTS, basic</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88"/>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 attributable to FTS, diluted</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r>
    </w:tbl>
    <w:p>
      <w:pPr>
        <w:spacing w:after="0" w:line="248" w:lineRule="exact"/>
        <w:rPr>
          <w:sz w:val="20"/>
          <w:szCs w:val="20"/>
          <w:color w:val="auto"/>
        </w:rPr>
      </w:pPr>
    </w:p>
    <w:p>
      <w:pPr>
        <w:jc w:val="both"/>
        <w:ind w:left="180" w:hanging="172"/>
        <w:spacing w:after="0" w:line="261" w:lineRule="auto"/>
        <w:tabs>
          <w:tab w:leader="none" w:pos="171" w:val="left"/>
        </w:tabs>
        <w:numPr>
          <w:ilvl w:val="0"/>
          <w:numId w:val="2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dilutive impact of share-based payment awards and warrants for the three months ended March 31, 2026, comprised of 25,815,326 shares related to stock options and 5,736,741 related to unvested RSUs, respectively. As the three months ended March 31, 2025 resulted in a net loss position, 16,228,153 potentially dilutive shares outstanding in connection with share based-payment awards were excluded from the computation of diluted net income (loss) per common share as the effect would have been anti-dilutive.</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VARIABLE INTEREST ENTITIES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consolidates VIEs in which the Company is deemed to have both the power to direct the most significant activities of the entities and the right to receive benefits, or the obligation to absorb losses, that could potentially be significant to the entities.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and classification of the assets and liabilities of VIEs consolidated within the Condensed Consolidated Balance Sheets, after elimination of intercompany balances: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40" w:type="dxa"/>
            <w:vAlign w:val="bottom"/>
          </w:tcPr>
          <w:p>
            <w:pPr>
              <w:spacing w:after="0"/>
              <w:rPr>
                <w:sz w:val="16"/>
                <w:szCs w:val="16"/>
                <w:color w:val="auto"/>
              </w:rPr>
            </w:pPr>
          </w:p>
        </w:tc>
        <w:tc>
          <w:tcPr>
            <w:tcW w:w="3220" w:type="dxa"/>
            <w:vAlign w:val="bottom"/>
            <w:gridSpan w:val="4"/>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0"/>
        </w:trPr>
        <w:tc>
          <w:tcPr>
            <w:tcW w:w="41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Total Liabilities</w:t>
            </w:r>
          </w:p>
        </w:tc>
      </w:tr>
      <w:tr>
        <w:trPr>
          <w:trHeight w:val="202"/>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Offshore Solana Fund</w:t>
            </w:r>
          </w:p>
        </w:tc>
        <w:tc>
          <w:tcPr>
            <w:tcW w:w="1140" w:type="dxa"/>
            <w:vAlign w:val="bottom"/>
            <w:tcBorders>
              <w:top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41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Figure REIT</w:t>
            </w:r>
            <w:r>
              <w:rPr>
                <w:rFonts w:ascii="Times New Roman" w:cs="Times New Roman" w:eastAsia="Times New Roman" w:hAnsi="Times New Roman"/>
                <w:sz w:val="18"/>
                <w:szCs w:val="18"/>
                <w:color w:val="auto"/>
                <w:vertAlign w:val="superscript"/>
              </w:rPr>
              <w:t>(B)</w:t>
            </w:r>
          </w:p>
        </w:tc>
        <w:tc>
          <w:tcPr>
            <w:tcW w:w="11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w:t>
            </w:r>
          </w:p>
        </w:tc>
      </w:tr>
      <w:tr>
        <w:trPr>
          <w:trHeight w:val="19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Figure Certificate Company</w:t>
            </w:r>
          </w:p>
        </w:tc>
        <w:tc>
          <w:tcPr>
            <w:tcW w:w="1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601,847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601,555</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329,921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329,219</w:t>
            </w: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140" w:type="dxa"/>
            <w:vAlign w:val="bottom"/>
            <w:tcBorders>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605,810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601,556</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395,470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331,066</w:t>
            </w:r>
          </w:p>
        </w:tc>
      </w:tr>
      <w:tr>
        <w:trPr>
          <w:trHeight w:val="20"/>
        </w:trPr>
        <w:tc>
          <w:tcPr>
            <w:tcW w:w="4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hanging="172"/>
        <w:spacing w:after="0" w:line="270" w:lineRule="auto"/>
        <w:tabs>
          <w:tab w:leader="none" w:pos="171" w:val="left"/>
        </w:tabs>
        <w:numPr>
          <w:ilvl w:val="0"/>
          <w:numId w:val="2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March 27, 2026, Figure REIT, Inc. merged with and into VS Evergreen Acquisition Co. L.P.. As a result of the merger, Figure REIT, Inc. is no longer controlled nor consolidated by FTS. See Note 7, “Noncontrolling Interests in Consolidated Subsidiaries”, for further discussion on the merger.</w:t>
      </w:r>
    </w:p>
    <w:p>
      <w:pPr>
        <w:spacing w:after="0" w:line="1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the Company has wholly-owned consolidated VIEs that are formed to acquire, receive, participate, hold, release and dispose of participation interests for the Company’s warehouse facilities. The Company is the primary</w:t>
      </w:r>
    </w:p>
    <w:p>
      <w:pPr>
        <w:spacing w:after="0" w:line="3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beneficiary of these VIEs, and retains the risks and benefits associated with the assets and liabilities transferred to the VIEs. See Note 6 for further discussion of the Company’s warehouse facilities.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Offshore Solana Fund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Offshore Solana Fund was initially a wholly-owned subsidiary of the Company. In July 2024, the Company sold 2.8% of the Offshore Solana Fund limited partnership interests to unrelated third parties. As of March 31, 2026, the Company holds a 97.2% interest in the Offshore Solana Fund. Through its 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Condensed Consolidated Balance Sheets and reflects changes thereon in the Condensed Consolidated Statements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for further discussion of noncontrolling interests in the Offshore Solana Fund.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Figure Certificate Company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FCC is a face-amount certificate company registered with the SEC and is a wholly-owned subsidiary of the Company. The Company holds all voting rights in FCC and it directs the activities that most significantly impact the economic performance of FCC.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Company continues to be involved with securitizations considered VIEs in its role as the sponsor and the servicer of securitization transactions, the Company has determined that it is not the primary beneficiary of these entities and therefore does not consolidate these securitizations. These entities are established as grantor trusts for various securitization transactions. The activities that most significantly impact the economic performance of the VIE include servicing activities with respect to delinquent and defaulted loans, determined by a third-party special 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spacing w:after="0" w:line="1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risk characteristics of the unconsolidated VIEs and the Company’s maximum exposure to loss at March 31, 2026 and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15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UPB of securitization collateral</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6,766,151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4,595,629</w:t>
            </w:r>
          </w:p>
        </w:tc>
      </w:tr>
      <w:tr>
        <w:trPr>
          <w:trHeight w:val="195"/>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Face amount of debt held by third parties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6,689,854</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4,805,192</w:t>
            </w:r>
          </w:p>
        </w:tc>
      </w:tr>
      <w:tr>
        <w:trPr>
          <w:trHeight w:val="21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Maximum exposure</w:t>
            </w:r>
            <w:r>
              <w:rPr>
                <w:rFonts w:ascii="Times New Roman" w:cs="Times New Roman" w:eastAsia="Times New Roman" w:hAnsi="Times New Roman"/>
                <w:sz w:val="18"/>
                <w:szCs w:val="18"/>
                <w:color w:val="auto"/>
                <w:vertAlign w:val="superscript"/>
              </w:rPr>
              <w:t>(A)</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377,552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347,793</w:t>
            </w:r>
          </w:p>
        </w:tc>
      </w:tr>
      <w:tr>
        <w:trPr>
          <w:trHeight w:val="246"/>
        </w:trPr>
        <w:tc>
          <w:tcPr>
            <w:tcW w:w="7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delinquency</w:t>
            </w:r>
            <w:r>
              <w:rPr>
                <w:rFonts w:ascii="Times New Roman" w:cs="Times New Roman" w:eastAsia="Times New Roman" w:hAnsi="Times New Roman"/>
                <w:sz w:val="18"/>
                <w:szCs w:val="18"/>
                <w:color w:val="auto"/>
                <w:vertAlign w:val="superscript"/>
              </w:rPr>
              <w:t>(B)</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r>
    </w:tbl>
    <w:p>
      <w:pPr>
        <w:spacing w:after="0" w:line="190" w:lineRule="exact"/>
        <w:rPr>
          <w:sz w:val="20"/>
          <w:szCs w:val="20"/>
          <w:color w:val="auto"/>
        </w:rPr>
      </w:pPr>
    </w:p>
    <w:p>
      <w:pPr>
        <w:ind w:left="180" w:hanging="172"/>
        <w:spacing w:after="0" w:line="221" w:lineRule="auto"/>
        <w:tabs>
          <w:tab w:leader="none" w:pos="241"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represents the aggregate fair value of the Company’s investments in marketable securities and collateralized servicing assets. In certain cases, the Company is also obligated to fund securitization reserve accounts. See Note 10 for further discussion regarding the Company’s reserve account funding obligations.</w:t>
      </w:r>
    </w:p>
    <w:p>
      <w:pPr>
        <w:ind w:left="220" w:hanging="212"/>
        <w:spacing w:after="0"/>
        <w:tabs>
          <w:tab w:leader="none" w:pos="22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percentage of the UPB that is 60+ days delinquent.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 The Company is or may become, from time to time, involved in various disputes, litigation, arbitration, and regulatory inquiry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investigation matters that arise in the ordinary course of 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 reasonably possible, but the Company may become involved in additional litigation in the ordinary course of the Company’s business in the future, including litigation that could be material to its business.</w:t>
      </w:r>
    </w:p>
    <w:p>
      <w:pPr>
        <w:spacing w:after="0" w:line="37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from time to time, subject to inquiries by government entities, though the Company currently does not believe any of these inquiries would result in a material adverse effect on the Company’s business.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Indemnifications </w:t>
      </w:r>
      <w:r>
        <w:rPr>
          <w:rFonts w:ascii="Times New Roman" w:cs="Times New Roman" w:eastAsia="Times New Roman" w:hAnsi="Times New Roman"/>
          <w:sz w:val="18"/>
          <w:szCs w:val="18"/>
          <w:color w:val="auto"/>
        </w:rPr>
        <w:t>— In the normal course of business, the Company and its subsidiaries enter into contracts that contain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provide general indemnifications in regards 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Debt Covenants </w:t>
      </w:r>
      <w:r>
        <w:rPr>
          <w:rFonts w:ascii="Times New Roman" w:cs="Times New Roman" w:eastAsia="Times New Roman" w:hAnsi="Times New Roman"/>
          <w:sz w:val="18"/>
          <w:szCs w:val="18"/>
          <w:color w:val="auto"/>
        </w:rPr>
        <w:t>— Certain of the Company’s debt obligations are subject to loan covenants and event of default provisions. See Note 6 for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discussion of the Company’s debt obligations.</w:t>
      </w:r>
    </w:p>
    <w:p>
      <w:pPr>
        <w:spacing w:after="0" w:line="1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Loan Purchase and Servicing Commitments </w:t>
      </w:r>
      <w:r>
        <w:rPr>
          <w:rFonts w:ascii="Times New Roman" w:cs="Times New Roman" w:eastAsia="Times New Roman" w:hAnsi="Times New Roman"/>
          <w:sz w:val="18"/>
          <w:szCs w:val="18"/>
          <w:color w:val="auto"/>
        </w:rPr>
        <w:t>— The Company enters into agreements with various loan origination partners to purchase and service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loans they originate through the Technology Offering. At March 31, 2026 and December 31, 2025, purchase commitments were not material. The Company does not record an asset or liability for purchase or servicing commitments since it expects such commitments to benefit the Company, the Company has not yet taken control of the underlying loans, and the commitments are not material.</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Loan Funding Obligations </w:t>
      </w:r>
      <w:r>
        <w:rPr>
          <w:rFonts w:ascii="Times New Roman" w:cs="Times New Roman" w:eastAsia="Times New Roman" w:hAnsi="Times New Roman"/>
          <w:sz w:val="18"/>
          <w:szCs w:val="18"/>
          <w:color w:val="auto"/>
        </w:rPr>
        <w:t>— The HELOC loans that the Company originates or purchases include terms that permit borrowers to draw amounts,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redraw previously repaid amounts, typically up to a 5-year period after the original origination date. At March 31, 2026 and December 31, 2025, borrowers were able to borrow up to $118.9 million and $105.1 million on undrawn HELOC loans that the Company has committed to fund. Additionally, the Company has $53.1 million and $16.9 million in unfunded loan commitments at March 31, 2026 and December 31, 2025, respectively, related to loans originated or purchased near the end of each respective period, which were substantially settled within a week after each period end.</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Loan Repurchase Obligations </w:t>
      </w:r>
      <w:r>
        <w:rPr>
          <w:rFonts w:ascii="Times New Roman" w:cs="Times New Roman" w:eastAsia="Times New Roman" w:hAnsi="Times New Roman"/>
          <w:sz w:val="18"/>
          <w:szCs w:val="18"/>
          <w:color w:val="auto"/>
        </w:rPr>
        <w:t>— The Company has contractual agreements with certain loan buyers to repurchase or substitute loans where a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misses a payment within 30 to 90 days since the loan’s origination, though the Company indemnifies the loan buyer against future losses on such loans in certain cases. The repurchase price is equal to the original sale price to the loan purchaser and the Company recognizes a loss to the extent the repurchase price of the loan exceeds the estimated fair value on the repurchase date, further adjusted upon resale of the loan, if applicable. The Company generally continues to service the defaulting loan through a third-party subservicer. The Company repurchased loans for which it recognized gains (losses) of $(47) thousand and $(1.6) million for the three months ended March 31, 2026, and 2025, respectively, within “Other expense” in the Condensed Consolidated Statements of Operations.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2026, the Company has contingent commitments to repurchase loans with an aggregate UPB of up to $2.0 billion for which the Company recorded repurchase obligations totaling $16.8 million within “Payables to third-party loan owners” in the Condensed Consolidated Balance Sheets. The Company recorded a reserve of $5.9 million within “Other current liabilities” in the Condensed Consolidated Balance Sheets, based on the Company’s estimate of expected future losses at March 31, 2026.</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Securitization Reserve Account Funding Obligations </w:t>
      </w:r>
      <w:r>
        <w:rPr>
          <w:rFonts w:ascii="Times New Roman" w:cs="Times New Roman" w:eastAsia="Times New Roman" w:hAnsi="Times New Roman"/>
          <w:sz w:val="18"/>
          <w:szCs w:val="18"/>
          <w:color w:val="auto"/>
        </w:rPr>
        <w:t>— The Company, in its capacity as servicer of certain securitizations, has committed to fund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replenish customary reserve accounts held by the securitization trust that the Company initially funds at the time of securitization in an amount based upon expected prepayments, 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 at March 31, 2026.</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Capital Commitments </w:t>
      </w:r>
      <w:r>
        <w:rPr>
          <w:rFonts w:ascii="Times New Roman" w:cs="Times New Roman" w:eastAsia="Times New Roman" w:hAnsi="Times New Roman"/>
          <w:sz w:val="18"/>
          <w:szCs w:val="18"/>
          <w:color w:val="auto"/>
        </w:rPr>
        <w:t>— In February 2025, the Company entered into a joint venture agreement with a third party to finance loans originated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by the Company. As part of that agreement, the Company committed to invest up to $10.5 million in exchange for a 5.0% interest in the joint venture. The Company contributed no capital to the joint venture during the three months ended March 31, 2026.</w:t>
      </w:r>
    </w:p>
    <w:p>
      <w:pPr>
        <w:spacing w:after="0" w:line="36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has non-cancellable leases on office spaces expiring through 2031 that it does not sublease. Rent expense totaled $0.7 million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$0.7 million for the three months ended March 31, 2026 and 2025, respectively. The Company has leases that include renewal options, leasehold improvement incentives, and escalation clauses. At March 31, 2026, the Company has not considered such renewal provisions in the determination of the lease term, as it is not reasonably certain these options will be exercised. The terms of the leases do not impose any financial restrictions or covenants. Operating lease right-of-use (“ROU”) assets of $4.8 million are presented in “Other non-current assets”, and lease liabilities of $5.3 million are presented in “Other current liabilities” and “Lease liability, non-current”, in the Condensed Consolidated Balance Sheets at March 31, 2026.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undiscounted, minimum lease payments for the Company’s non-cancellable operating leases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Years Ending December 31,</w:t>
            </w:r>
          </w:p>
        </w:tc>
        <w:tc>
          <w:tcPr>
            <w:tcW w:w="280" w:type="dxa"/>
            <w:vAlign w:val="bottom"/>
          </w:tcPr>
          <w:p>
            <w:pPr>
              <w:spacing w:after="0"/>
              <w:rPr>
                <w:sz w:val="16"/>
                <w:szCs w:val="16"/>
                <w:color w:val="auto"/>
              </w:rPr>
            </w:pPr>
          </w:p>
        </w:tc>
        <w:tc>
          <w:tcPr>
            <w:tcW w:w="16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23"/>
        </w:trPr>
        <w:tc>
          <w:tcPr>
            <w:tcW w:w="9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6"/>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2026 (remainder)</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r>
      <w:tr>
        <w:trPr>
          <w:trHeight w:val="195"/>
        </w:trPr>
        <w:tc>
          <w:tcPr>
            <w:tcW w:w="9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2027</w:t>
            </w:r>
          </w:p>
        </w:tc>
        <w:tc>
          <w:tcPr>
            <w:tcW w:w="2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w:t>
            </w:r>
          </w:p>
        </w:tc>
      </w:tr>
      <w:tr>
        <w:trPr>
          <w:trHeight w:val="210"/>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2028</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w:t>
            </w:r>
          </w:p>
        </w:tc>
      </w:tr>
      <w:tr>
        <w:trPr>
          <w:trHeight w:val="195"/>
        </w:trPr>
        <w:tc>
          <w:tcPr>
            <w:tcW w:w="9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2029</w:t>
            </w:r>
          </w:p>
        </w:tc>
        <w:tc>
          <w:tcPr>
            <w:tcW w:w="2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r>
      <w:tr>
        <w:trPr>
          <w:trHeight w:val="210"/>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2030</w:t>
            </w: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r>
      <w:tr>
        <w:trPr>
          <w:trHeight w:val="196"/>
        </w:trPr>
        <w:tc>
          <w:tcPr>
            <w:tcW w:w="9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Thereafter</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03"/>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w:t>
            </w:r>
          </w:p>
        </w:tc>
      </w:tr>
      <w:tr>
        <w:trPr>
          <w:trHeight w:val="190"/>
        </w:trPr>
        <w:tc>
          <w:tcPr>
            <w:tcW w:w="9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Less: Imputed Interest</w:t>
            </w: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(1,131)</w:t>
            </w:r>
          </w:p>
        </w:tc>
      </w:tr>
      <w:tr>
        <w:trPr>
          <w:trHeight w:val="228"/>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weighted average remaining lease term for operating leases was 4.3 years and 4.2 years, respectively, and the weighted average discount rate was 1.0% and 1.0%, respectively. The Company paid $0.7 million and $0.7 million in cash included in the measurement of lease liabilities for the three months ended March 31, 2026 and 2025,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Provenance Blockchain Foundation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Note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the Company entered into an interest bearing term note with the Provenance Blockchain Foundation (“Provenance”), pursuant to which the Company provided Provenance with a $5.0 million loan, which was subsequently amended on June 12, 2023, to increase the total principal amount to $9.1 million. The term note was eligible to be settled in cash or an equivalent value of HASH at maturity. On December 31, 2025, the loan was settled in full. The total loan balance at the time of payoff, including all accrued interest, was $10.1 million. As allowed by the terms of the note, the payoff was satisfied through the transfer of 4,969,120,678 HASH tokens. The per token value of the HASH tokens was determined to be $0.00205, based on a valuation report provided by an independent third party. This valuation resulted in a total transfer value of $10.2 million. As the transfer of HASH tokens resulted in an overpayment by Provenance of $0.1 million, representing 31,707,317 HASH tokens to be returned to Provenance, which resulted in a payable to related party of $0.1 million as of March 31, 2026 and December 31, 2025. Interest earned on the note was $0.9 million for the three months ended March 31, 2025, recorded as “Interest income” in the Condensed Consolidated Statements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Gas Fee Service Provider</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2025, FCC entered into a services agreement with Provenance whereby Provenance pays, on behalf of FCC, HASH to cover fees to network validators for processing and validating operations on the blockchain incurred in connection with the purchase or sale of the face-amount certificates issued by FCC and transacted on Provenance’s blockchain (“Provenance Blockchain”). FCC reimburses Provenance in cash in an amount equal to the then-current market value of HASH paid by Provenance. The Company recognized $4 thousand incurred under the services agreement for the three months ended March 31, 2026, respectively, recorded as expense in “Operations and processing” on the Condensed Consolidated Statements of Operations. At March 31, 2026 the Company owed $5 thousand to Provenance recorded in “Accounts payable and accrued liabilities” in the Condensed Consolidated Balance Sheets.</w:t>
      </w:r>
    </w:p>
    <w:p>
      <w:pPr>
        <w:spacing w:after="0" w:line="36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Signum Ltd. (dba Hastra)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Company entered into a Software License Agreement (the “Agreement”) with Signum Ltd. (dba Hastra) (“Hastra”). Under the terms of the Agreement, the Company granted Hastra a nonexclusive, non-sublicensable, and nontransferable license to use certain proprietary software to support their protocol. In exchange for the license and ongoing maintenance and support services, Hastra pays the Company a royalty fee equal to 0.50% (50 basis points) of the per-transaction revenue earned from the protocol.</w:t>
      </w:r>
    </w:p>
    <w:p>
      <w:pPr>
        <w:spacing w:after="0" w:line="12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initial term of the Agreement is three years, expiring in December 2028, with automatic one-year renewals thereafter. For the three months ended March 31, 2026, the Company recognized $0.3 million revenue related to this Agreement, and had $0.3 million outstanding receivables due from Hastra as of March 31, 2026.</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Hastra holds YLDS as part of their protocol activity; the YLDS held by Hastra are recorded in “Debt, current to related parties” in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Loan Securitizations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retains beneficial interests in loan securitization trusts that it sponsors. See Notes 3 and 9 for additional detail.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YLDS Holdings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the Chief Capital Officer holds $0.4 million of YLDS invested in Democratized Prime, recorded as “Debt, current” on the Condensed Consolidated Balance Sheets. The officer’s holdings are on normal market terms and do not include any preferential terms, guarantees, or other arrangements with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Equity-Method Investees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Reflow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holds a 17.3% interest in Reflow Services, LLC, an SEC-registered investment advisor, contributed to the Company by the Controlling Party. The Company received distributed profits of $1.0 million and zero for the three months ended March 31, 2026 and 2025, respectively, recorded in “Other revenue” in the Condensed Consolidated Statements of Operations. See Note 3 for detail on the Company’s investment in Reflow.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 Solana Fund</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Domestic Solana Fund acquired its investments in SOL primarily through auctions held through the FTX Trading Ltd. (“FTX”) bankruptcy proceedings through a purchase and sale agreement with Alameda Research and Maclaurin Investments. The Company recorded contributions, net of distributions, to the Domestic Solana Fund in “Other non-current assets” in the Condensed Consolidated Balance Sheets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60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r>
      <w:tr>
        <w:trPr>
          <w:trHeight w:val="20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Contributions</w:t>
            </w:r>
          </w:p>
        </w:tc>
        <w:tc>
          <w:tcPr>
            <w:tcW w:w="1040" w:type="dxa"/>
            <w:vAlign w:val="bottom"/>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w:t>
            </w:r>
          </w:p>
        </w:tc>
        <w:tc>
          <w:tcPr>
            <w:tcW w:w="104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detail on the Company’s investment in Domestic Solana Fund.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Evergreen Funds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$2.0 million in outstanding receivables due from the Evergreen Funds as of March 31, 2026, recorded in “Accounts receivable, net” in the Condensed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the Controlling Party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$0.1 million and $0.2 million for the three months ended March 31, 2026 and 2025, respectively, in costs to arrange travel for the Controlling Party and other affiliates, recorded as “General and administrative” expense in the Condensed Consolidated Statements of Operations.</w:t>
      </w:r>
    </w:p>
    <w:p>
      <w:pPr>
        <w:spacing w:after="0" w:line="33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the Controlling Party holds $0.5 million of YLDS invested in Democratized Prime, recorded as “Debt, current” on the Condensed Consolidated Balance Sheets. The Controlling Party’s holdings are on normal market terms and do not include any preferential terms, guarantees, or other arrangements with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FAIR VALUE MEASUREMENTS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Recorded at Fair Value on a Recurring Basis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the assets and liabilities that are measured at fair value on a recurring basis at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7"/>
                <w:szCs w:val="17"/>
                <w:color w:val="auto"/>
              </w:rPr>
            </w:pPr>
          </w:p>
        </w:tc>
        <w:tc>
          <w:tcPr>
            <w:tcW w:w="10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4"/>
                <w:szCs w:val="14"/>
                <w:b w:val="1"/>
                <w:bCs w:val="1"/>
                <w:color w:val="auto"/>
              </w:rPr>
              <w:t>Level 3</w:t>
            </w:r>
            <w:r>
              <w:rPr>
                <w:rFonts w:ascii="Times New Roman" w:cs="Times New Roman" w:eastAsia="Times New Roman" w:hAnsi="Times New Roman"/>
                <w:sz w:val="18"/>
                <w:szCs w:val="18"/>
                <w:b w:val="1"/>
                <w:bCs w:val="1"/>
                <w:color w:val="auto"/>
                <w:vertAlign w:val="superscript"/>
              </w:rPr>
              <w:t>(A)</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5"/>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1,464,643</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1,075,087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389,556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1,464,643</w:t>
            </w:r>
          </w:p>
        </w:tc>
      </w:tr>
      <w:tr>
        <w:trPr>
          <w:trHeight w:val="21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71,947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71,947</w:t>
            </w:r>
          </w:p>
        </w:tc>
      </w:tr>
      <w:tr>
        <w:trPr>
          <w:trHeight w:val="203"/>
        </w:trPr>
        <w:tc>
          <w:tcPr>
            <w:tcW w:w="46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Digital assets</w:t>
            </w:r>
            <w:r>
              <w:rPr>
                <w:rFonts w:ascii="Times New Roman" w:cs="Times New Roman" w:eastAsia="Times New Roman" w:hAnsi="Times New Roman"/>
                <w:sz w:val="18"/>
                <w:szCs w:val="18"/>
                <w:color w:val="auto"/>
                <w:vertAlign w:val="superscript"/>
              </w:rPr>
              <w:t>(B)</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64,397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64,397</w:t>
            </w:r>
          </w:p>
        </w:tc>
      </w:tr>
      <w:tr>
        <w:trPr>
          <w:trHeight w:val="203"/>
        </w:trPr>
        <w:tc>
          <w:tcPr>
            <w:tcW w:w="46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Distressed asset claims</w:t>
            </w:r>
            <w:r>
              <w:rPr>
                <w:rFonts w:ascii="Times New Roman" w:cs="Times New Roman" w:eastAsia="Times New Roman" w:hAnsi="Times New Roman"/>
                <w:sz w:val="18"/>
                <w:szCs w:val="18"/>
                <w:color w:val="auto"/>
                <w:vertAlign w:val="superscript"/>
              </w:rPr>
              <w:t>(C)</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r>
      <w:tr>
        <w:trPr>
          <w:trHeight w:val="203"/>
        </w:trPr>
        <w:tc>
          <w:tcPr>
            <w:tcW w:w="46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Marketable securities, at fair value</w:t>
            </w:r>
            <w:r>
              <w:rPr>
                <w:rFonts w:ascii="Times New Roman" w:cs="Times New Roman" w:eastAsia="Times New Roman" w:hAnsi="Times New Roman"/>
                <w:sz w:val="18"/>
                <w:szCs w:val="18"/>
                <w:color w:val="auto"/>
                <w:vertAlign w:val="superscript"/>
              </w:rPr>
              <w:t>(D)</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298,428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266,513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298,428</w:t>
            </w:r>
          </w:p>
        </w:tc>
      </w:tr>
      <w:tr>
        <w:trPr>
          <w:trHeight w:val="203"/>
        </w:trPr>
        <w:tc>
          <w:tcPr>
            <w:tcW w:w="46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Loans held for sale, at fair value </w:t>
            </w:r>
            <w:r>
              <w:rPr>
                <w:rFonts w:ascii="Times New Roman" w:cs="Times New Roman" w:eastAsia="Times New Roman" w:hAnsi="Times New Roman"/>
                <w:sz w:val="18"/>
                <w:szCs w:val="18"/>
                <w:color w:val="auto"/>
                <w:vertAlign w:val="superscript"/>
              </w:rPr>
              <w:t>(E)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503,900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503,900</w:t>
            </w:r>
          </w:p>
        </w:tc>
      </w:tr>
      <w:tr>
        <w:trPr>
          <w:trHeight w:val="203"/>
        </w:trPr>
        <w:tc>
          <w:tcPr>
            <w:tcW w:w="46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Loan servicing assets, at fair value </w:t>
            </w:r>
            <w:r>
              <w:rPr>
                <w:rFonts w:ascii="Times New Roman" w:cs="Times New Roman" w:eastAsia="Times New Roman" w:hAnsi="Times New Roman"/>
                <w:sz w:val="18"/>
                <w:szCs w:val="18"/>
                <w:color w:val="auto"/>
                <w:vertAlign w:val="superscript"/>
              </w:rPr>
              <w:t>(E)</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125,931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125,931</w:t>
            </w:r>
          </w:p>
        </w:tc>
      </w:tr>
      <w:tr>
        <w:trPr>
          <w:trHeight w:val="203"/>
        </w:trPr>
        <w:tc>
          <w:tcPr>
            <w:tcW w:w="46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Treasury note futures </w:t>
            </w:r>
            <w:r>
              <w:rPr>
                <w:rFonts w:ascii="Times New Roman" w:cs="Times New Roman" w:eastAsia="Times New Roman" w:hAnsi="Times New Roman"/>
                <w:sz w:val="18"/>
                <w:szCs w:val="18"/>
                <w:color w:val="auto"/>
                <w:vertAlign w:val="superscript"/>
              </w:rPr>
              <w:t>(F)</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2,788</w:t>
            </w:r>
          </w:p>
        </w:tc>
      </w:tr>
      <w:tr>
        <w:trPr>
          <w:trHeight w:val="196"/>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2,534,298</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1,214,219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656,069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664,010</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2,534,298</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4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Digital asset collateral repayment obligation</w:t>
            </w:r>
            <w:r>
              <w:rPr>
                <w:rFonts w:ascii="Times New Roman" w:cs="Times New Roman" w:eastAsia="Times New Roman" w:hAnsi="Times New Roman"/>
                <w:sz w:val="18"/>
                <w:szCs w:val="18"/>
                <w:color w:val="auto"/>
                <w:vertAlign w:val="superscript"/>
              </w:rPr>
              <w:t>(G)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31,144</w:t>
            </w:r>
          </w:p>
        </w:tc>
      </w:tr>
      <w:tr>
        <w:trPr>
          <w:trHeight w:val="203"/>
        </w:trPr>
        <w:tc>
          <w:tcPr>
            <w:tcW w:w="4660" w:type="dxa"/>
            <w:vAlign w:val="bottom"/>
          </w:tcPr>
          <w:p>
            <w:pPr>
              <w:ind w:left="80"/>
              <w:spacing w:after="0" w:line="202" w:lineRule="exact"/>
              <w:rPr>
                <w:sz w:val="20"/>
                <w:szCs w:val="20"/>
                <w:color w:val="auto"/>
              </w:rPr>
            </w:pPr>
            <w:r>
              <w:rPr>
                <w:rFonts w:ascii="Times New Roman" w:cs="Times New Roman" w:eastAsia="Times New Roman" w:hAnsi="Times New Roman"/>
                <w:sz w:val="14"/>
                <w:szCs w:val="14"/>
                <w:color w:val="auto"/>
              </w:rPr>
              <w:t>Certificate repayment obligation</w:t>
            </w:r>
            <w:r>
              <w:rPr>
                <w:rFonts w:ascii="Times New Roman" w:cs="Times New Roman" w:eastAsia="Times New Roman" w:hAnsi="Times New Roman"/>
                <w:sz w:val="18"/>
                <w:szCs w:val="18"/>
                <w:color w:val="auto"/>
                <w:vertAlign w:val="superscript"/>
              </w:rPr>
              <w:t>(H)</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551,115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551,115</w:t>
            </w:r>
          </w:p>
        </w:tc>
      </w:tr>
      <w:tr>
        <w:trPr>
          <w:trHeight w:val="22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582,259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31,144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582,259</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4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
        </w:trPr>
        <w:tc>
          <w:tcPr>
            <w:tcW w:w="4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43"/>
        </w:trPr>
        <w:tc>
          <w:tcPr>
            <w:tcW w:w="4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21"/>
                <w:szCs w:val="21"/>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r>
              <w:rPr>
                <w:rFonts w:ascii="Times New Roman" w:cs="Times New Roman" w:eastAsia="Times New Roman" w:hAnsi="Times New Roman"/>
                <w:sz w:val="18"/>
                <w:szCs w:val="18"/>
                <w:b w:val="1"/>
                <w:bCs w:val="1"/>
                <w:color w:val="auto"/>
                <w:vertAlign w:val="superscript"/>
              </w:rPr>
              <w:t>(A)</w:t>
            </w:r>
          </w:p>
        </w:tc>
        <w:tc>
          <w:tcPr>
            <w:tcW w:w="280" w:type="dxa"/>
            <w:vAlign w:val="bottom"/>
          </w:tcPr>
          <w:p>
            <w:pPr>
              <w:spacing w:after="0"/>
              <w:rPr>
                <w:sz w:val="21"/>
                <w:szCs w:val="21"/>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95"/>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1,198,141</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955,200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242,941</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1,198,141</w:t>
            </w:r>
          </w:p>
        </w:tc>
      </w:tr>
      <w:tr>
        <w:trPr>
          <w:trHeight w:val="21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68,637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68,637</w:t>
            </w:r>
          </w:p>
        </w:tc>
      </w:tr>
      <w:tr>
        <w:trPr>
          <w:trHeight w:val="203"/>
        </w:trPr>
        <w:tc>
          <w:tcPr>
            <w:tcW w:w="46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Digital assets</w:t>
            </w:r>
            <w:r>
              <w:rPr>
                <w:rFonts w:ascii="Times New Roman" w:cs="Times New Roman" w:eastAsia="Times New Roman" w:hAnsi="Times New Roman"/>
                <w:sz w:val="18"/>
                <w:szCs w:val="18"/>
                <w:color w:val="auto"/>
                <w:vertAlign w:val="superscript"/>
              </w:rPr>
              <w:t>(B)</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88,511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88,511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88,511</w:t>
            </w:r>
          </w:p>
        </w:tc>
      </w:tr>
      <w:tr>
        <w:trPr>
          <w:trHeight w:val="203"/>
        </w:trPr>
        <w:tc>
          <w:tcPr>
            <w:tcW w:w="46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Distressed asset claims</w:t>
            </w:r>
            <w:r>
              <w:rPr>
                <w:rFonts w:ascii="Times New Roman" w:cs="Times New Roman" w:eastAsia="Times New Roman" w:hAnsi="Times New Roman"/>
                <w:sz w:val="18"/>
                <w:szCs w:val="18"/>
                <w:color w:val="auto"/>
                <w:vertAlign w:val="superscript"/>
              </w:rPr>
              <w:t>(C)</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3,068</w:t>
            </w:r>
          </w:p>
        </w:tc>
      </w:tr>
      <w:tr>
        <w:trPr>
          <w:trHeight w:val="203"/>
        </w:trPr>
        <w:tc>
          <w:tcPr>
            <w:tcW w:w="46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Marketable securities, at fair value</w:t>
            </w:r>
            <w:r>
              <w:rPr>
                <w:rFonts w:ascii="Times New Roman" w:cs="Times New Roman" w:eastAsia="Times New Roman" w:hAnsi="Times New Roman"/>
                <w:sz w:val="18"/>
                <w:szCs w:val="18"/>
                <w:color w:val="auto"/>
                <w:vertAlign w:val="superscript"/>
              </w:rPr>
              <w:t>(D)</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273,151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232,985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273,151</w:t>
            </w:r>
          </w:p>
        </w:tc>
      </w:tr>
      <w:tr>
        <w:trPr>
          <w:trHeight w:val="203"/>
        </w:trPr>
        <w:tc>
          <w:tcPr>
            <w:tcW w:w="46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Loans held for sale, at fair value </w:t>
            </w:r>
            <w:r>
              <w:rPr>
                <w:rFonts w:ascii="Times New Roman" w:cs="Times New Roman" w:eastAsia="Times New Roman" w:hAnsi="Times New Roman"/>
                <w:sz w:val="18"/>
                <w:szCs w:val="18"/>
                <w:color w:val="auto"/>
                <w:vertAlign w:val="superscript"/>
              </w:rPr>
              <w:t>(E)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404,337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404,337</w:t>
            </w:r>
          </w:p>
        </w:tc>
      </w:tr>
      <w:tr>
        <w:trPr>
          <w:trHeight w:val="203"/>
        </w:trPr>
        <w:tc>
          <w:tcPr>
            <w:tcW w:w="46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Loan servicing assets, at fair value </w:t>
            </w:r>
            <w:r>
              <w:rPr>
                <w:rFonts w:ascii="Times New Roman" w:cs="Times New Roman" w:eastAsia="Times New Roman" w:hAnsi="Times New Roman"/>
                <w:sz w:val="18"/>
                <w:szCs w:val="18"/>
                <w:color w:val="auto"/>
                <w:vertAlign w:val="superscript"/>
              </w:rPr>
              <w:t>(E)</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113,064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113,064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113,064</w:t>
            </w:r>
          </w:p>
        </w:tc>
      </w:tr>
      <w:tr>
        <w:trPr>
          <w:trHeight w:val="203"/>
        </w:trPr>
        <w:tc>
          <w:tcPr>
            <w:tcW w:w="46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 xml:space="preserve">Treasury note futures </w:t>
            </w:r>
            <w:r>
              <w:rPr>
                <w:rFonts w:ascii="Times New Roman" w:cs="Times New Roman" w:eastAsia="Times New Roman" w:hAnsi="Times New Roman"/>
                <w:sz w:val="18"/>
                <w:szCs w:val="18"/>
                <w:color w:val="auto"/>
                <w:vertAlign w:val="superscript"/>
              </w:rPr>
              <w:t>(F)</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442</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196"/>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2,149,351</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1,112,790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475,926</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560,635</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2,149,351</w:t>
            </w: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asset collateral repayment obligation</w:t>
            </w:r>
            <w:r>
              <w:rPr>
                <w:rFonts w:ascii="Times New Roman" w:cs="Times New Roman" w:eastAsia="Times New Roman" w:hAnsi="Times New Roman"/>
                <w:sz w:val="18"/>
                <w:szCs w:val="18"/>
                <w:color w:val="auto"/>
                <w:vertAlign w:val="superscript"/>
              </w:rPr>
              <w:t>(G)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52,569</w:t>
            </w:r>
          </w:p>
        </w:tc>
      </w:tr>
      <w:tr>
        <w:trPr>
          <w:trHeight w:val="203"/>
        </w:trPr>
        <w:tc>
          <w:tcPr>
            <w:tcW w:w="46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Certificate repayment obligation</w:t>
            </w:r>
            <w:r>
              <w:rPr>
                <w:rFonts w:ascii="Times New Roman" w:cs="Times New Roman" w:eastAsia="Times New Roman" w:hAnsi="Times New Roman"/>
                <w:sz w:val="18"/>
                <w:szCs w:val="18"/>
                <w:color w:val="auto"/>
                <w:vertAlign w:val="superscript"/>
              </w:rPr>
              <w:t>(H)</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266,654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266,654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266,654</w:t>
            </w:r>
          </w:p>
        </w:tc>
      </w:tr>
      <w:tr>
        <w:trPr>
          <w:trHeight w:val="22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52,569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319,223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280" w:hanging="272"/>
        <w:spacing w:after="0"/>
        <w:tabs>
          <w:tab w:leader="none" w:pos="280" w:val="left"/>
        </w:tabs>
        <w:numPr>
          <w:ilvl w:val="0"/>
          <w:numId w:val="2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There were no transfers of Level 3 instruments to, or from, other fair value levels during the periods presented.</w:t>
      </w:r>
    </w:p>
    <w:p>
      <w:pPr>
        <w:spacing w:after="0" w:line="27" w:lineRule="exact"/>
        <w:rPr>
          <w:rFonts w:ascii="Times New Roman" w:cs="Times New Roman" w:eastAsia="Times New Roman" w:hAnsi="Times New Roman"/>
          <w:sz w:val="9"/>
          <w:szCs w:val="9"/>
          <w:color w:val="auto"/>
        </w:rPr>
      </w:pPr>
    </w:p>
    <w:p>
      <w:pPr>
        <w:ind w:left="280" w:hanging="272"/>
        <w:spacing w:after="0" w:line="192" w:lineRule="auto"/>
        <w:tabs>
          <w:tab w:leader="none" w:pos="28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in “Digital assets” and “Digital assets, non-current” in the Condensed Consolidated Balance Sheets and represents all digital assets held which are measured at fair value.</w:t>
      </w:r>
    </w:p>
    <w:p>
      <w:pPr>
        <w:spacing w:after="0" w:line="3" w:lineRule="exact"/>
        <w:rPr>
          <w:rFonts w:ascii="Times New Roman" w:cs="Times New Roman" w:eastAsia="Times New Roman" w:hAnsi="Times New Roman"/>
          <w:sz w:val="19"/>
          <w:szCs w:val="19"/>
          <w:color w:val="auto"/>
          <w:vertAlign w:val="superscript"/>
        </w:rPr>
      </w:pPr>
    </w:p>
    <w:p>
      <w:pPr>
        <w:ind w:left="180" w:hanging="172"/>
        <w:spacing w:after="0" w:line="219" w:lineRule="auto"/>
        <w:tabs>
          <w:tab w:leader="none" w:pos="346"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purchased interests in bankruptcy claims acquired on secondary markets which are included in “Other current assets” in the Condensed Consolidated Balance Sheets. As of March 31, 2026 and 2025, the related balances were considered insignificant.</w:t>
      </w:r>
    </w:p>
    <w:p>
      <w:pPr>
        <w:spacing w:after="0" w:line="22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80" w:hanging="272"/>
        <w:spacing w:after="0"/>
        <w:tabs>
          <w:tab w:leader="none" w:pos="28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Residual interest securities and non-rated securities in securitizations not considered debt securities are included within Level 3 of the fair value hierarchy.</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2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Notes 4 and 5 regarding changes in the carrying value of servicing assets and loans, respectively.</w:t>
      </w:r>
    </w:p>
    <w:p>
      <w:pPr>
        <w:spacing w:after="0" w:line="44" w:lineRule="exact"/>
        <w:rPr>
          <w:rFonts w:ascii="Times New Roman" w:cs="Times New Roman" w:eastAsia="Times New Roman" w:hAnsi="Times New Roman"/>
          <w:sz w:val="17"/>
          <w:szCs w:val="17"/>
          <w:color w:val="auto"/>
          <w:vertAlign w:val="superscript"/>
        </w:rPr>
      </w:pPr>
    </w:p>
    <w:p>
      <w:pPr>
        <w:ind w:left="180" w:right="20" w:hanging="172"/>
        <w:spacing w:after="0" w:line="213" w:lineRule="auto"/>
        <w:tabs>
          <w:tab w:leader="none" w:pos="288"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Treasury note future assets are recorded in “Other current assets”, and treasury note future liabilities in “Other current liabilities" in the Condensed Consolidated Balance Sheets. For further information, see Note 2.</w:t>
      </w:r>
    </w:p>
    <w:p>
      <w:pPr>
        <w:ind w:left="160" w:hanging="152"/>
        <w:spacing w:after="0"/>
        <w:tabs>
          <w:tab w:leader="none" w:pos="160" w:val="left"/>
        </w:tabs>
        <w:numPr>
          <w:ilvl w:val="0"/>
          <w:numId w:val="2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“Other current liabilities” in the Condensed Consolidated Balance Sheets.</w:t>
      </w:r>
    </w:p>
    <w:p>
      <w:pPr>
        <w:spacing w:after="0" w:line="11" w:lineRule="exact"/>
        <w:rPr>
          <w:rFonts w:ascii="Times New Roman" w:cs="Times New Roman" w:eastAsia="Times New Roman" w:hAnsi="Times New Roman"/>
          <w:sz w:val="9"/>
          <w:szCs w:val="9"/>
          <w:color w:val="auto"/>
        </w:rPr>
      </w:pPr>
    </w:p>
    <w:p>
      <w:pPr>
        <w:ind w:left="160" w:hanging="152"/>
        <w:spacing w:after="0" w:line="228" w:lineRule="auto"/>
        <w:tabs>
          <w:tab w:leader="none" w:pos="160" w:val="left"/>
        </w:tabs>
        <w:numPr>
          <w:ilvl w:val="0"/>
          <w:numId w:val="2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Included in “Debt, current” in the Condensed Consolidated Balance Sheets.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Valuation Inputs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used the following unobservable inputs that it considers significant to value the financial assets and liabilities carried at fair value and classified within Level 3 of the fair value hierarchy: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Discount Rate </w:t>
            </w:r>
            <w:r>
              <w:rPr>
                <w:rFonts w:ascii="Times New Roman" w:cs="Times New Roman" w:eastAsia="Times New Roman" w:hAnsi="Times New Roman"/>
                <w:sz w:val="18"/>
                <w:szCs w:val="18"/>
                <w:b w:val="1"/>
                <w:bCs w:val="1"/>
                <w:color w:val="auto"/>
                <w:vertAlign w:val="superscript"/>
              </w:rPr>
              <w:t>(A)</w:t>
            </w:r>
            <w:r>
              <w:rPr>
                <w:rFonts w:ascii="Times New Roman" w:cs="Times New Roman" w:eastAsia="Times New Roman" w:hAnsi="Times New Roman"/>
                <w:sz w:val="14"/>
                <w:szCs w:val="14"/>
                <w:b w:val="1"/>
                <w:bCs w:val="1"/>
                <w:color w:val="auto"/>
              </w:rPr>
              <w:t xml:space="preserve"> (%)</w:t>
            </w: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xml:space="preserve">CPR </w:t>
            </w:r>
            <w:r>
              <w:rPr>
                <w:rFonts w:ascii="Times New Roman" w:cs="Times New Roman" w:eastAsia="Times New Roman" w:hAnsi="Times New Roman"/>
                <w:sz w:val="18"/>
                <w:szCs w:val="18"/>
                <w:b w:val="1"/>
                <w:bCs w:val="1"/>
                <w:color w:val="auto"/>
                <w:vertAlign w:val="superscript"/>
              </w:rPr>
              <w:t>(B)</w:t>
            </w:r>
            <w:r>
              <w:rPr>
                <w:rFonts w:ascii="Times New Roman" w:cs="Times New Roman" w:eastAsia="Times New Roman" w:hAnsi="Times New Roman"/>
                <w:sz w:val="14"/>
                <w:szCs w:val="14"/>
                <w:b w:val="1"/>
                <w:bCs w:val="1"/>
                <w:color w:val="auto"/>
              </w:rPr>
              <w:t xml:space="preserve"> (%)</w:t>
            </w: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 xml:space="preserve">CDR </w:t>
            </w:r>
            <w:r>
              <w:rPr>
                <w:rFonts w:ascii="Times New Roman" w:cs="Times New Roman" w:eastAsia="Times New Roman" w:hAnsi="Times New Roman"/>
                <w:sz w:val="18"/>
                <w:szCs w:val="18"/>
                <w:b w:val="1"/>
                <w:bCs w:val="1"/>
                <w:color w:val="auto"/>
                <w:vertAlign w:val="superscript"/>
              </w:rPr>
              <w:t>(C)</w:t>
            </w:r>
            <w:r>
              <w:rPr>
                <w:rFonts w:ascii="Times New Roman" w:cs="Times New Roman" w:eastAsia="Times New Roman" w:hAnsi="Times New Roman"/>
                <w:sz w:val="14"/>
                <w:szCs w:val="14"/>
                <w:b w:val="1"/>
                <w:bCs w:val="1"/>
                <w:color w:val="auto"/>
              </w:rPr>
              <w:t xml:space="preserve"> (%)</w:t>
            </w:r>
          </w:p>
        </w:tc>
        <w:tc>
          <w:tcPr>
            <w:tcW w:w="13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2"/>
                <w:szCs w:val="12"/>
                <w:b w:val="1"/>
                <w:bCs w:val="1"/>
                <w:color w:val="auto"/>
              </w:rPr>
              <w:t xml:space="preserve">Servicing Rate </w:t>
            </w:r>
            <w:r>
              <w:rPr>
                <w:rFonts w:ascii="Times New Roman" w:cs="Times New Roman" w:eastAsia="Times New Roman" w:hAnsi="Times New Roman"/>
                <w:sz w:val="15"/>
                <w:szCs w:val="15"/>
                <w:b w:val="1"/>
                <w:bCs w:val="1"/>
                <w:color w:val="auto"/>
                <w:vertAlign w:val="superscript"/>
              </w:rPr>
              <w:t>(D)</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Loss Severity </w:t>
            </w:r>
            <w:r>
              <w:rPr>
                <w:rFonts w:ascii="Times New Roman" w:cs="Times New Roman" w:eastAsia="Times New Roman" w:hAnsi="Times New Roman"/>
                <w:sz w:val="18"/>
                <w:szCs w:val="18"/>
                <w:b w:val="1"/>
                <w:bCs w:val="1"/>
                <w:color w:val="auto"/>
                <w:w w:val="98"/>
                <w:vertAlign w:val="superscript"/>
              </w:rPr>
              <w:t>(E)</w:t>
            </w:r>
            <w:r>
              <w:rPr>
                <w:rFonts w:ascii="Times New Roman" w:cs="Times New Roman" w:eastAsia="Times New Roman" w:hAnsi="Times New Roman"/>
                <w:sz w:val="14"/>
                <w:szCs w:val="14"/>
                <w:b w:val="1"/>
                <w:bCs w:val="1"/>
                <w:color w:val="auto"/>
                <w:w w:val="98"/>
              </w:rPr>
              <w:t xml:space="preserve"> (%)</w:t>
            </w: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Residual interest securities</w:t>
            </w:r>
          </w:p>
        </w:tc>
        <w:tc>
          <w:tcPr>
            <w:tcW w:w="180" w:type="dxa"/>
            <w:vAlign w:val="bottom"/>
          </w:tcPr>
          <w:p>
            <w:pPr>
              <w:jc w:val="right"/>
              <w:ind w:right="8"/>
              <w:spacing w:after="0" w:line="13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31,915</w:t>
            </w:r>
          </w:p>
        </w:tc>
        <w:tc>
          <w:tcPr>
            <w:tcW w:w="1840" w:type="dxa"/>
            <w:vAlign w:val="bottom"/>
            <w:gridSpan w:val="2"/>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5.3% - 26.9%</w:t>
            </w:r>
          </w:p>
        </w:tc>
        <w:tc>
          <w:tcPr>
            <w:tcW w:w="10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16.2% - 20.8%</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 - 2.4%</w:t>
            </w:r>
          </w:p>
        </w:tc>
        <w:tc>
          <w:tcPr>
            <w:tcW w:w="134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14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3"/>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Servicing assets: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8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HELOC loans</w:t>
            </w:r>
          </w:p>
        </w:tc>
        <w:tc>
          <w:tcPr>
            <w:tcW w:w="180" w:type="dxa"/>
            <w:vAlign w:val="bottom"/>
            <w:shd w:val="clear" w:color="auto" w:fill="CCEEFF"/>
          </w:tcPr>
          <w:p>
            <w:pPr>
              <w:jc w:val="right"/>
              <w:ind w:right="8"/>
              <w:spacing w:after="0" w:line="147"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123,964</w:t>
            </w:r>
          </w:p>
        </w:tc>
        <w:tc>
          <w:tcPr>
            <w:tcW w:w="1840" w:type="dxa"/>
            <w:vAlign w:val="bottom"/>
            <w:gridSpan w:val="2"/>
            <w:shd w:val="clear" w:color="auto" w:fill="CCEEFF"/>
          </w:tcPr>
          <w:p>
            <w:pPr>
              <w:jc w:val="center"/>
              <w:ind w:left="28"/>
              <w:spacing w:after="0" w:line="147" w:lineRule="exact"/>
              <w:rPr>
                <w:sz w:val="20"/>
                <w:szCs w:val="20"/>
                <w:color w:val="auto"/>
              </w:rPr>
            </w:pPr>
            <w:r>
              <w:rPr>
                <w:rFonts w:ascii="Times New Roman" w:cs="Times New Roman" w:eastAsia="Times New Roman" w:hAnsi="Times New Roman"/>
                <w:sz w:val="14"/>
                <w:szCs w:val="14"/>
                <w:color w:val="auto"/>
              </w:rPr>
              <w:t>13.0% - 13.0%</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 - 37.7%</w:t>
            </w:r>
          </w:p>
        </w:tc>
        <w:tc>
          <w:tcPr>
            <w:tcW w:w="1240" w:type="dxa"/>
            <w:vAlign w:val="bottom"/>
            <w:gridSpan w:val="2"/>
            <w:shd w:val="clear" w:color="auto" w:fill="CCEEFF"/>
          </w:tcPr>
          <w:p>
            <w:pPr>
              <w:jc w:val="center"/>
              <w:ind w:right="100"/>
              <w:spacing w:after="0" w:line="147" w:lineRule="exact"/>
              <w:rPr>
                <w:sz w:val="20"/>
                <w:szCs w:val="20"/>
                <w:color w:val="auto"/>
              </w:rPr>
            </w:pPr>
            <w:r>
              <w:rPr>
                <w:rFonts w:ascii="Times New Roman" w:cs="Times New Roman" w:eastAsia="Times New Roman" w:hAnsi="Times New Roman"/>
                <w:sz w:val="14"/>
                <w:szCs w:val="14"/>
                <w:color w:val="auto"/>
              </w:rPr>
              <w:t>—% - 4.4%</w:t>
            </w:r>
          </w:p>
        </w:tc>
        <w:tc>
          <w:tcPr>
            <w:tcW w:w="124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Mortgage loans</w:t>
            </w:r>
          </w:p>
        </w:tc>
        <w:tc>
          <w:tcPr>
            <w:tcW w:w="180" w:type="dxa"/>
            <w:vAlign w:val="bottom"/>
          </w:tcPr>
          <w:p>
            <w:pPr>
              <w:spacing w:after="0"/>
              <w:rPr>
                <w:sz w:val="12"/>
                <w:szCs w:val="12"/>
                <w:color w:val="auto"/>
              </w:rPr>
            </w:pPr>
          </w:p>
        </w:tc>
        <w:tc>
          <w:tcPr>
            <w:tcW w:w="9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1,967</w:t>
            </w:r>
          </w:p>
        </w:tc>
        <w:tc>
          <w:tcPr>
            <w:tcW w:w="1840" w:type="dxa"/>
            <w:vAlign w:val="bottom"/>
            <w:gridSpan w:val="2"/>
          </w:tcPr>
          <w:p>
            <w:pPr>
              <w:jc w:val="center"/>
              <w:ind w:left="28"/>
              <w:spacing w:after="0" w:line="139" w:lineRule="exact"/>
              <w:rPr>
                <w:sz w:val="20"/>
                <w:szCs w:val="20"/>
                <w:color w:val="auto"/>
              </w:rPr>
            </w:pPr>
            <w:r>
              <w:rPr>
                <w:rFonts w:ascii="Times New Roman" w:cs="Times New Roman" w:eastAsia="Times New Roman" w:hAnsi="Times New Roman"/>
                <w:sz w:val="14"/>
                <w:szCs w:val="14"/>
                <w:color w:val="auto"/>
              </w:rPr>
              <w:t>9.5% - 10.5%</w:t>
            </w:r>
          </w:p>
        </w:tc>
        <w:tc>
          <w:tcPr>
            <w:tcW w:w="10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3.5% - 8.7%</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 - 10.6%</w:t>
            </w:r>
          </w:p>
        </w:tc>
        <w:tc>
          <w:tcPr>
            <w:tcW w:w="124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2"/>
                <w:szCs w:val="12"/>
                <w:color w:val="auto"/>
              </w:rPr>
            </w:pPr>
          </w:p>
        </w:tc>
        <w:tc>
          <w:tcPr>
            <w:tcW w:w="14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3"/>
        </w:trPr>
        <w:tc>
          <w:tcPr>
            <w:tcW w:w="28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860" w:type="dxa"/>
            <w:vAlign w:val="bottom"/>
            <w:tcBorders>
              <w:bottom w:val="single" w:sz="8" w:color="CCEEFF"/>
            </w:tcBorders>
            <w:shd w:val="clear" w:color="auto" w:fill="CCEEFF"/>
          </w:tcPr>
          <w:p>
            <w:pPr>
              <w:ind w:left="80"/>
              <w:spacing w:after="0" w:line="201" w:lineRule="exact"/>
              <w:rPr>
                <w:sz w:val="20"/>
                <w:szCs w:val="20"/>
                <w:color w:val="auto"/>
              </w:rPr>
            </w:pPr>
            <w:r>
              <w:rPr>
                <w:rFonts w:ascii="Times New Roman" w:cs="Times New Roman" w:eastAsia="Times New Roman" w:hAnsi="Times New Roman"/>
                <w:sz w:val="14"/>
                <w:szCs w:val="14"/>
                <w:color w:val="auto"/>
              </w:rPr>
              <w:t>Total / Weighted average</w:t>
            </w:r>
            <w:r>
              <w:rPr>
                <w:rFonts w:ascii="Times New Roman" w:cs="Times New Roman" w:eastAsia="Times New Roman" w:hAnsi="Times New Roman"/>
                <w:sz w:val="18"/>
                <w:szCs w:val="18"/>
                <w:color w:val="auto"/>
                <w:vertAlign w:val="superscript"/>
              </w:rPr>
              <w:t>(F)</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125,931</w:t>
            </w:r>
          </w:p>
        </w:tc>
        <w:tc>
          <w:tcPr>
            <w:tcW w:w="18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860" w:type="dxa"/>
            <w:vAlign w:val="bottom"/>
          </w:tcPr>
          <w:p>
            <w:pPr>
              <w:ind w:left="180"/>
              <w:spacing w:after="0" w:line="139" w:lineRule="exact"/>
              <w:rPr>
                <w:sz w:val="20"/>
                <w:szCs w:val="20"/>
                <w:color w:val="auto"/>
              </w:rPr>
            </w:pPr>
            <w:r>
              <w:rPr>
                <w:rFonts w:ascii="Times New Roman" w:cs="Times New Roman" w:eastAsia="Times New Roman" w:hAnsi="Times New Roman"/>
                <w:sz w:val="13"/>
                <w:szCs w:val="13"/>
                <w:color w:val="auto"/>
              </w:rPr>
              <w:t>HELOC loans</w:t>
            </w:r>
            <w:r>
              <w:rPr>
                <w:rFonts w:ascii="Times New Roman" w:cs="Times New Roman" w:eastAsia="Times New Roman" w:hAnsi="Times New Roman"/>
                <w:sz w:val="16"/>
                <w:szCs w:val="16"/>
                <w:color w:val="auto"/>
                <w:vertAlign w:val="superscript"/>
              </w:rPr>
              <w:t>(G)</w:t>
            </w:r>
          </w:p>
        </w:tc>
        <w:tc>
          <w:tcPr>
            <w:tcW w:w="180" w:type="dxa"/>
            <w:vAlign w:val="bottom"/>
          </w:tcPr>
          <w:p>
            <w:pPr>
              <w:jc w:val="right"/>
              <w:ind w:right="8"/>
              <w:spacing w:after="0" w:line="13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437,577</w:t>
            </w:r>
          </w:p>
        </w:tc>
        <w:tc>
          <w:tcPr>
            <w:tcW w:w="1840" w:type="dxa"/>
            <w:vAlign w:val="bottom"/>
            <w:gridSpan w:val="2"/>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5.8% - 7.7%</w:t>
            </w:r>
          </w:p>
        </w:tc>
        <w:tc>
          <w:tcPr>
            <w:tcW w:w="100" w:type="dxa"/>
            <w:vAlign w:val="bottom"/>
          </w:tcPr>
          <w:p>
            <w:pPr>
              <w:spacing w:after="0"/>
              <w:rPr>
                <w:sz w:val="12"/>
                <w:szCs w:val="12"/>
                <w:color w:val="auto"/>
              </w:rPr>
            </w:pPr>
          </w:p>
        </w:tc>
        <w:tc>
          <w:tcPr>
            <w:tcW w:w="12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2.1% - 44.3%</w:t>
            </w: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39" w:lineRule="exact"/>
              <w:rPr>
                <w:sz w:val="20"/>
                <w:szCs w:val="20"/>
                <w:color w:val="auto"/>
              </w:rPr>
            </w:pPr>
            <w:r>
              <w:rPr>
                <w:rFonts w:ascii="Times New Roman" w:cs="Times New Roman" w:eastAsia="Times New Roman" w:hAnsi="Times New Roman"/>
                <w:sz w:val="14"/>
                <w:szCs w:val="14"/>
                <w:color w:val="auto"/>
              </w:rPr>
              <w:t>—% - 95.0%</w:t>
            </w:r>
          </w:p>
        </w:tc>
        <w:tc>
          <w:tcPr>
            <w:tcW w:w="1340" w:type="dxa"/>
            <w:vAlign w:val="bottom"/>
            <w:gridSpan w:val="2"/>
          </w:tcPr>
          <w:p>
            <w:pPr>
              <w:jc w:val="center"/>
              <w:ind w:right="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 - 99.4%</w:t>
            </w:r>
          </w:p>
        </w:tc>
        <w:tc>
          <w:tcPr>
            <w:tcW w:w="0" w:type="dxa"/>
            <w:vAlign w:val="bottom"/>
          </w:tcPr>
          <w:p>
            <w:pPr>
              <w:spacing w:after="0"/>
              <w:rPr>
                <w:sz w:val="1"/>
                <w:szCs w:val="1"/>
                <w:color w:val="auto"/>
              </w:rPr>
            </w:pPr>
          </w:p>
        </w:tc>
      </w:tr>
      <w:tr>
        <w:trPr>
          <w:trHeight w:val="193"/>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44"/>
        </w:trPr>
        <w:tc>
          <w:tcPr>
            <w:tcW w:w="28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3"/>
                <w:szCs w:val="13"/>
                <w:color w:val="auto"/>
              </w:rPr>
              <w:t>Personal loans</w:t>
            </w:r>
            <w:r>
              <w:rPr>
                <w:rFonts w:ascii="Times New Roman" w:cs="Times New Roman" w:eastAsia="Times New Roman" w:hAnsi="Times New Roman"/>
                <w:sz w:val="16"/>
                <w:szCs w:val="16"/>
                <w:color w:val="auto"/>
                <w:vertAlign w:val="superscript"/>
              </w:rPr>
              <w:t>(H)</w:t>
            </w: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57,670</w:t>
            </w:r>
          </w:p>
        </w:tc>
        <w:tc>
          <w:tcPr>
            <w:tcW w:w="1840" w:type="dxa"/>
            <w:vAlign w:val="bottom"/>
            <w:gridSpan w:val="2"/>
            <w:shd w:val="clear" w:color="auto" w:fill="CCEEFF"/>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8.9% - 11.5%</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CCEEFF"/>
            </w:tcBorders>
          </w:tcPr>
          <w:p>
            <w:pPr>
              <w:ind w:left="180"/>
              <w:spacing w:after="0" w:line="202"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(I)</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8,653</w:t>
            </w:r>
          </w:p>
        </w:tc>
        <w:tc>
          <w:tcPr>
            <w:tcW w:w="10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60" w:type="dxa"/>
            <w:vAlign w:val="bottom"/>
            <w:tcBorders>
              <w:bottom w:val="single" w:sz="8" w:color="CCEEFF"/>
            </w:tcBorders>
            <w:shd w:val="clear" w:color="auto" w:fill="CCEEFF"/>
          </w:tcPr>
          <w:p>
            <w:pPr>
              <w:ind w:left="80"/>
              <w:spacing w:after="0" w:line="196" w:lineRule="exact"/>
              <w:rPr>
                <w:sz w:val="20"/>
                <w:szCs w:val="20"/>
                <w:color w:val="auto"/>
              </w:rPr>
            </w:pPr>
            <w:r>
              <w:rPr>
                <w:rFonts w:ascii="Times New Roman" w:cs="Times New Roman" w:eastAsia="Times New Roman" w:hAnsi="Times New Roman"/>
                <w:sz w:val="14"/>
                <w:szCs w:val="14"/>
                <w:color w:val="auto"/>
              </w:rPr>
              <w:t>Total / Weighted average</w:t>
            </w:r>
            <w:r>
              <w:rPr>
                <w:rFonts w:ascii="Times New Roman" w:cs="Times New Roman" w:eastAsia="Times New Roman" w:hAnsi="Times New Roman"/>
                <w:sz w:val="18"/>
                <w:szCs w:val="18"/>
                <w:color w:val="auto"/>
                <w:vertAlign w:val="superscript"/>
              </w:rPr>
              <w:t>(F)</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503,900</w:t>
            </w:r>
          </w:p>
        </w:tc>
        <w:tc>
          <w:tcPr>
            <w:tcW w:w="184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gridSpan w:val="4"/>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Discount Rate</w:t>
            </w:r>
            <w:r>
              <w:rPr>
                <w:rFonts w:ascii="Times New Roman" w:cs="Times New Roman" w:eastAsia="Times New Roman" w:hAnsi="Times New Roman"/>
                <w:sz w:val="18"/>
                <w:szCs w:val="18"/>
                <w:b w:val="1"/>
                <w:bCs w:val="1"/>
                <w:color w:val="auto"/>
                <w:vertAlign w:val="superscript"/>
              </w:rPr>
              <w:t>(A)</w:t>
            </w:r>
            <w:r>
              <w:rPr>
                <w:rFonts w:ascii="Times New Roman" w:cs="Times New Roman" w:eastAsia="Times New Roman" w:hAnsi="Times New Roman"/>
                <w:sz w:val="14"/>
                <w:szCs w:val="14"/>
                <w:b w:val="1"/>
                <w:bCs w:val="1"/>
                <w:color w:val="auto"/>
              </w:rPr>
              <w:t xml:space="preserve"> (%)</w:t>
            </w:r>
          </w:p>
        </w:tc>
        <w:tc>
          <w:tcPr>
            <w:tcW w:w="1280" w:type="dxa"/>
            <w:vAlign w:val="bottom"/>
            <w:tcBorders>
              <w:top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CPR</w:t>
            </w:r>
            <w:r>
              <w:rPr>
                <w:rFonts w:ascii="Times New Roman" w:cs="Times New Roman" w:eastAsia="Times New Roman" w:hAnsi="Times New Roman"/>
                <w:sz w:val="18"/>
                <w:szCs w:val="18"/>
                <w:b w:val="1"/>
                <w:bCs w:val="1"/>
                <w:color w:val="auto"/>
                <w:vertAlign w:val="superscript"/>
              </w:rPr>
              <w:t>(B)</w:t>
            </w:r>
            <w:r>
              <w:rPr>
                <w:rFonts w:ascii="Times New Roman" w:cs="Times New Roman" w:eastAsia="Times New Roman" w:hAnsi="Times New Roman"/>
                <w:sz w:val="14"/>
                <w:szCs w:val="14"/>
                <w:b w:val="1"/>
                <w:bCs w:val="1"/>
                <w:color w:val="auto"/>
              </w:rPr>
              <w:t xml:space="preserve"> (%)</w:t>
            </w:r>
          </w:p>
        </w:tc>
        <w:tc>
          <w:tcPr>
            <w:tcW w:w="1220" w:type="dxa"/>
            <w:vAlign w:val="bottom"/>
            <w:tcBorders>
              <w:top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CDR</w:t>
            </w:r>
            <w:r>
              <w:rPr>
                <w:rFonts w:ascii="Times New Roman" w:cs="Times New Roman" w:eastAsia="Times New Roman" w:hAnsi="Times New Roman"/>
                <w:sz w:val="18"/>
                <w:szCs w:val="18"/>
                <w:b w:val="1"/>
                <w:bCs w:val="1"/>
                <w:color w:val="auto"/>
                <w:vertAlign w:val="superscript"/>
              </w:rPr>
              <w:t>(C)</w:t>
            </w:r>
            <w:r>
              <w:rPr>
                <w:rFonts w:ascii="Times New Roman" w:cs="Times New Roman" w:eastAsia="Times New Roman" w:hAnsi="Times New Roman"/>
                <w:sz w:val="14"/>
                <w:szCs w:val="14"/>
                <w:b w:val="1"/>
                <w:bCs w:val="1"/>
                <w:color w:val="auto"/>
              </w:rPr>
              <w:t xml:space="preserve"> (%)</w:t>
            </w:r>
          </w:p>
        </w:tc>
        <w:tc>
          <w:tcPr>
            <w:tcW w:w="1340" w:type="dxa"/>
            <w:vAlign w:val="bottom"/>
            <w:tcBorders>
              <w:top w:val="single" w:sz="8" w:color="auto"/>
            </w:tcBorders>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Servicing Rate</w:t>
            </w:r>
            <w:r>
              <w:rPr>
                <w:rFonts w:ascii="Times New Roman" w:cs="Times New Roman" w:eastAsia="Times New Roman" w:hAnsi="Times New Roman"/>
                <w:sz w:val="17"/>
                <w:szCs w:val="17"/>
                <w:b w:val="1"/>
                <w:bCs w:val="1"/>
                <w:color w:val="auto"/>
                <w:vertAlign w:val="superscript"/>
              </w:rPr>
              <w:t>(D)</w:t>
            </w:r>
          </w:p>
        </w:tc>
        <w:tc>
          <w:tcPr>
            <w:tcW w:w="14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Loss Severity </w:t>
            </w:r>
            <w:r>
              <w:rPr>
                <w:rFonts w:ascii="Times New Roman" w:cs="Times New Roman" w:eastAsia="Times New Roman" w:hAnsi="Times New Roman"/>
                <w:sz w:val="18"/>
                <w:szCs w:val="18"/>
                <w:b w:val="1"/>
                <w:bCs w:val="1"/>
                <w:color w:val="auto"/>
                <w:w w:val="99"/>
                <w:vertAlign w:val="superscript"/>
              </w:rPr>
              <w:t>(E)</w:t>
            </w:r>
            <w:r>
              <w:rPr>
                <w:rFonts w:ascii="Times New Roman" w:cs="Times New Roman" w:eastAsia="Times New Roman" w:hAnsi="Times New Roman"/>
                <w:sz w:val="14"/>
                <w:szCs w:val="14"/>
                <w:b w:val="1"/>
                <w:bCs w:val="1"/>
                <w:color w:val="auto"/>
                <w:w w:val="99"/>
              </w:rPr>
              <w:t xml:space="preserve"> (%)</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80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Residual interest securities</w:t>
            </w:r>
          </w:p>
        </w:tc>
        <w:tc>
          <w:tcPr>
            <w:tcW w:w="1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40,166</w:t>
            </w:r>
          </w:p>
        </w:tc>
        <w:tc>
          <w:tcPr>
            <w:tcW w:w="1800" w:type="dxa"/>
            <w:vAlign w:val="bottom"/>
            <w:gridSpan w:val="2"/>
          </w:tcPr>
          <w:p>
            <w:pPr>
              <w:jc w:val="center"/>
              <w:ind w:left="28"/>
              <w:spacing w:after="0" w:line="135" w:lineRule="exact"/>
              <w:rPr>
                <w:sz w:val="20"/>
                <w:szCs w:val="20"/>
                <w:color w:val="auto"/>
              </w:rPr>
            </w:pPr>
            <w:r>
              <w:rPr>
                <w:rFonts w:ascii="Times New Roman" w:cs="Times New Roman" w:eastAsia="Times New Roman" w:hAnsi="Times New Roman"/>
                <w:sz w:val="14"/>
                <w:szCs w:val="14"/>
                <w:color w:val="auto"/>
              </w:rPr>
              <w:t>9.6% - 25.8%</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16.2% - 20.8%</w:t>
            </w: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 - 2.4%</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5"/>
              </w:rPr>
              <w:t>n.a</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Servicing assets: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HELOC loans</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111,211</w:t>
            </w:r>
          </w:p>
        </w:tc>
        <w:tc>
          <w:tcPr>
            <w:tcW w:w="1800" w:type="dxa"/>
            <w:vAlign w:val="bottom"/>
            <w:gridSpan w:val="2"/>
            <w:shd w:val="clear" w:color="auto" w:fill="CCEEFF"/>
          </w:tcPr>
          <w:p>
            <w:pPr>
              <w:jc w:val="center"/>
              <w:ind w:left="28"/>
              <w:spacing w:after="0" w:line="142" w:lineRule="exact"/>
              <w:rPr>
                <w:sz w:val="20"/>
                <w:szCs w:val="20"/>
                <w:color w:val="auto"/>
              </w:rPr>
            </w:pPr>
            <w:r>
              <w:rPr>
                <w:rFonts w:ascii="Times New Roman" w:cs="Times New Roman" w:eastAsia="Times New Roman" w:hAnsi="Times New Roman"/>
                <w:sz w:val="14"/>
                <w:szCs w:val="14"/>
                <w:color w:val="auto"/>
              </w:rPr>
              <w:t>13.0% - 13.0%</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rPr>
              <w:t>—% - 33.1%</w:t>
            </w:r>
          </w:p>
        </w:tc>
        <w:tc>
          <w:tcPr>
            <w:tcW w:w="1220" w:type="dxa"/>
            <w:vAlign w:val="bottom"/>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 - 4.8%</w:t>
            </w:r>
          </w:p>
        </w:tc>
        <w:tc>
          <w:tcPr>
            <w:tcW w:w="12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00" w:type="dxa"/>
            <w:vAlign w:val="bottom"/>
          </w:tcPr>
          <w:p>
            <w:pPr>
              <w:ind w:left="180"/>
              <w:spacing w:after="0" w:line="135" w:lineRule="exact"/>
              <w:rPr>
                <w:sz w:val="20"/>
                <w:szCs w:val="20"/>
                <w:color w:val="auto"/>
              </w:rPr>
            </w:pPr>
            <w:r>
              <w:rPr>
                <w:rFonts w:ascii="Times New Roman" w:cs="Times New Roman" w:eastAsia="Times New Roman" w:hAnsi="Times New Roman"/>
                <w:sz w:val="14"/>
                <w:szCs w:val="14"/>
                <w:color w:val="auto"/>
              </w:rPr>
              <w:t>Mortgage loans</w:t>
            </w: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1,853</w:t>
            </w:r>
          </w:p>
        </w:tc>
        <w:tc>
          <w:tcPr>
            <w:tcW w:w="1800" w:type="dxa"/>
            <w:vAlign w:val="bottom"/>
            <w:gridSpan w:val="2"/>
          </w:tcPr>
          <w:p>
            <w:pPr>
              <w:jc w:val="center"/>
              <w:ind w:left="28"/>
              <w:spacing w:after="0" w:line="135" w:lineRule="exact"/>
              <w:rPr>
                <w:sz w:val="20"/>
                <w:szCs w:val="20"/>
                <w:color w:val="auto"/>
              </w:rPr>
            </w:pPr>
            <w:r>
              <w:rPr>
                <w:rFonts w:ascii="Times New Roman" w:cs="Times New Roman" w:eastAsia="Times New Roman" w:hAnsi="Times New Roman"/>
                <w:sz w:val="14"/>
                <w:szCs w:val="14"/>
                <w:color w:val="auto"/>
              </w:rPr>
              <w:t>9.5% - 10.5%</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3.5% - 8.2%</w:t>
            </w: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 - 10.5%</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4"/>
                <w:szCs w:val="14"/>
                <w:color w:val="auto"/>
              </w:rPr>
              <w:t>Total / Weighted average</w:t>
            </w:r>
            <w:r>
              <w:rPr>
                <w:rFonts w:ascii="Times New Roman" w:cs="Times New Roman" w:eastAsia="Times New Roman" w:hAnsi="Times New Roman"/>
                <w:sz w:val="18"/>
                <w:szCs w:val="18"/>
                <w:color w:val="auto"/>
                <w:vertAlign w:val="superscript"/>
              </w:rPr>
              <w:t>(F)</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113,064</w:t>
            </w:r>
          </w:p>
        </w:tc>
        <w:tc>
          <w:tcPr>
            <w:tcW w:w="180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00" w:type="dxa"/>
            <w:vAlign w:val="bottom"/>
          </w:tcPr>
          <w:p>
            <w:pPr>
              <w:ind w:left="180"/>
              <w:spacing w:after="0" w:line="135" w:lineRule="exact"/>
              <w:rPr>
                <w:sz w:val="20"/>
                <w:szCs w:val="20"/>
                <w:color w:val="auto"/>
              </w:rPr>
            </w:pPr>
            <w:r>
              <w:rPr>
                <w:rFonts w:ascii="Times New Roman" w:cs="Times New Roman" w:eastAsia="Times New Roman" w:hAnsi="Times New Roman"/>
                <w:sz w:val="12"/>
                <w:szCs w:val="12"/>
                <w:color w:val="auto"/>
              </w:rPr>
              <w:t>HELOC loans</w:t>
            </w:r>
            <w:r>
              <w:rPr>
                <w:rFonts w:ascii="Times New Roman" w:cs="Times New Roman" w:eastAsia="Times New Roman" w:hAnsi="Times New Roman"/>
                <w:sz w:val="15"/>
                <w:szCs w:val="15"/>
                <w:color w:val="auto"/>
                <w:vertAlign w:val="superscript"/>
              </w:rPr>
              <w:t>(G)</w:t>
            </w:r>
          </w:p>
        </w:tc>
        <w:tc>
          <w:tcPr>
            <w:tcW w:w="1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320,566</w:t>
            </w:r>
          </w:p>
        </w:tc>
        <w:tc>
          <w:tcPr>
            <w:tcW w:w="1800" w:type="dxa"/>
            <w:vAlign w:val="bottom"/>
            <w:gridSpan w:val="2"/>
          </w:tcPr>
          <w:p>
            <w:pPr>
              <w:jc w:val="center"/>
              <w:ind w:left="8"/>
              <w:spacing w:after="0" w:line="135" w:lineRule="exact"/>
              <w:rPr>
                <w:sz w:val="20"/>
                <w:szCs w:val="20"/>
                <w:color w:val="auto"/>
              </w:rPr>
            </w:pPr>
            <w:r>
              <w:rPr>
                <w:rFonts w:ascii="Times New Roman" w:cs="Times New Roman" w:eastAsia="Times New Roman" w:hAnsi="Times New Roman"/>
                <w:sz w:val="14"/>
                <w:szCs w:val="14"/>
                <w:color w:val="auto"/>
              </w:rPr>
              <w:t>5.7% - 7.8%</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1.1% - 47.4%</w:t>
            </w:r>
          </w:p>
        </w:tc>
        <w:tc>
          <w:tcPr>
            <w:tcW w:w="100" w:type="dxa"/>
            <w:vAlign w:val="bottom"/>
          </w:tcPr>
          <w:p>
            <w:pPr>
              <w:spacing w:after="0"/>
              <w:rPr>
                <w:sz w:val="11"/>
                <w:szCs w:val="11"/>
                <w:color w:val="auto"/>
              </w:rPr>
            </w:pPr>
          </w:p>
        </w:tc>
        <w:tc>
          <w:tcPr>
            <w:tcW w:w="12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rPr>
              <w:t>—% - 94.0%</w:t>
            </w: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5"/>
              </w:rPr>
              <w:t>n.a</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 - 99.1%</w:t>
            </w:r>
          </w:p>
        </w:tc>
        <w:tc>
          <w:tcPr>
            <w:tcW w:w="0" w:type="dxa"/>
            <w:vAlign w:val="bottom"/>
          </w:tcPr>
          <w:p>
            <w:pPr>
              <w:spacing w:after="0"/>
              <w:rPr>
                <w:sz w:val="1"/>
                <w:szCs w:val="1"/>
                <w:color w:val="auto"/>
              </w:rPr>
            </w:pPr>
          </w:p>
        </w:tc>
      </w:tr>
      <w:tr>
        <w:trPr>
          <w:trHeight w:val="195"/>
        </w:trPr>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3"/>
                <w:szCs w:val="13"/>
                <w:color w:val="auto"/>
              </w:rPr>
              <w:t>Personal loans</w:t>
            </w:r>
            <w:r>
              <w:rPr>
                <w:rFonts w:ascii="Times New Roman" w:cs="Times New Roman" w:eastAsia="Times New Roman" w:hAnsi="Times New Roman"/>
                <w:sz w:val="16"/>
                <w:szCs w:val="16"/>
                <w:color w:val="auto"/>
                <w:vertAlign w:val="superscript"/>
              </w:rPr>
              <w:t>(H)</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79,113</w:t>
            </w:r>
          </w:p>
        </w:tc>
        <w:tc>
          <w:tcPr>
            <w:tcW w:w="1800" w:type="dxa"/>
            <w:vAlign w:val="bottom"/>
            <w:gridSpan w:val="2"/>
            <w:shd w:val="clear" w:color="auto" w:fill="CCEEFF"/>
          </w:tcPr>
          <w:p>
            <w:pPr>
              <w:jc w:val="center"/>
              <w:ind w:left="28"/>
              <w:spacing w:after="0" w:line="142" w:lineRule="exact"/>
              <w:rPr>
                <w:sz w:val="20"/>
                <w:szCs w:val="20"/>
                <w:color w:val="auto"/>
              </w:rPr>
            </w:pPr>
            <w:r>
              <w:rPr>
                <w:rFonts w:ascii="Times New Roman" w:cs="Times New Roman" w:eastAsia="Times New Roman" w:hAnsi="Times New Roman"/>
                <w:sz w:val="14"/>
                <w:szCs w:val="14"/>
                <w:color w:val="auto"/>
              </w:rPr>
              <w:t>8.9% - 11.5%</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center"/>
              <w:ind w:right="100"/>
              <w:spacing w:after="0" w:line="142" w:lineRule="exact"/>
              <w:rPr>
                <w:sz w:val="20"/>
                <w:szCs w:val="20"/>
                <w:color w:val="auto"/>
              </w:rPr>
            </w:pPr>
            <w:r>
              <w:rPr>
                <w:rFonts w:ascii="Times New Roman" w:cs="Times New Roman" w:eastAsia="Times New Roman" w:hAnsi="Times New Roman"/>
                <w:sz w:val="14"/>
                <w:szCs w:val="14"/>
                <w:color w:val="auto"/>
                <w:w w:val="98"/>
              </w:rPr>
              <w:t>n.a.</w:t>
            </w:r>
          </w:p>
        </w:tc>
        <w:tc>
          <w:tcPr>
            <w:tcW w:w="142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00" w:type="dxa"/>
            <w:vAlign w:val="bottom"/>
          </w:tcPr>
          <w:p>
            <w:pPr>
              <w:ind w:left="180"/>
              <w:spacing w:after="0" w:line="135" w:lineRule="exact"/>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5"/>
                <w:szCs w:val="15"/>
                <w:color w:val="auto"/>
                <w:vertAlign w:val="superscript"/>
              </w:rPr>
              <w:t>(J)</w:t>
            </w:r>
          </w:p>
        </w:tc>
        <w:tc>
          <w:tcPr>
            <w:tcW w:w="16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4,658</w:t>
            </w:r>
          </w:p>
        </w:tc>
        <w:tc>
          <w:tcPr>
            <w:tcW w:w="1800" w:type="dxa"/>
            <w:vAlign w:val="bottom"/>
            <w:gridSpan w:val="2"/>
          </w:tcPr>
          <w:p>
            <w:pPr>
              <w:jc w:val="center"/>
              <w:ind w:left="28"/>
              <w:spacing w:after="0" w:line="135" w:lineRule="exact"/>
              <w:rPr>
                <w:sz w:val="20"/>
                <w:szCs w:val="20"/>
                <w:color w:val="auto"/>
              </w:rPr>
            </w:pPr>
            <w:r>
              <w:rPr>
                <w:rFonts w:ascii="Times New Roman" w:cs="Times New Roman" w:eastAsia="Times New Roman" w:hAnsi="Times New Roman"/>
                <w:sz w:val="14"/>
                <w:szCs w:val="14"/>
                <w:color w:val="auto"/>
              </w:rPr>
              <w:t>6.2% - 12.0%</w:t>
            </w:r>
          </w:p>
        </w:tc>
        <w:tc>
          <w:tcPr>
            <w:tcW w:w="10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4.6% - 73.2%</w:t>
            </w:r>
          </w:p>
        </w:tc>
        <w:tc>
          <w:tcPr>
            <w:tcW w:w="100" w:type="dxa"/>
            <w:vAlign w:val="bottom"/>
          </w:tcPr>
          <w:p>
            <w:pPr>
              <w:spacing w:after="0"/>
              <w:rPr>
                <w:sz w:val="11"/>
                <w:szCs w:val="11"/>
                <w:color w:val="auto"/>
              </w:rPr>
            </w:pP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1.0% - 62.8%</w:t>
            </w:r>
          </w:p>
        </w:tc>
        <w:tc>
          <w:tcPr>
            <w:tcW w:w="100" w:type="dxa"/>
            <w:vAlign w:val="bottom"/>
          </w:tcPr>
          <w:p>
            <w:pPr>
              <w:spacing w:after="0"/>
              <w:rPr>
                <w:sz w:val="11"/>
                <w:szCs w:val="11"/>
                <w:color w:val="auto"/>
              </w:rPr>
            </w:pPr>
          </w:p>
        </w:tc>
        <w:tc>
          <w:tcPr>
            <w:tcW w:w="13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color w:val="auto"/>
                <w:w w:val="95"/>
              </w:rPr>
              <w:t>n.a</w:t>
            </w: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88.0% - 92.0%</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0" w:type="dxa"/>
            <w:vAlign w:val="bottom"/>
            <w:tcBorders>
              <w:bottom w:val="single" w:sz="8" w:color="CCEEFF"/>
            </w:tcBorders>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228"/>
        </w:trPr>
        <w:tc>
          <w:tcPr>
            <w:tcW w:w="28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4"/>
                <w:szCs w:val="14"/>
                <w:color w:val="auto"/>
              </w:rPr>
              <w:t>Total / Weighted average</w:t>
            </w:r>
            <w:r>
              <w:rPr>
                <w:rFonts w:ascii="Times New Roman" w:cs="Times New Roman" w:eastAsia="Times New Roman" w:hAnsi="Times New Roman"/>
                <w:sz w:val="18"/>
                <w:szCs w:val="18"/>
                <w:color w:val="auto"/>
                <w:vertAlign w:val="superscript"/>
              </w:rPr>
              <w:t>(F)</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404,337</w:t>
            </w:r>
          </w:p>
        </w:tc>
        <w:tc>
          <w:tcPr>
            <w:tcW w:w="1800" w:type="dxa"/>
            <w:vAlign w:val="bottom"/>
            <w:tcBorders>
              <w:bottom w:val="single" w:sz="8" w:color="CCEEFF"/>
            </w:tcBorders>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Significant increases (decreases) in the discount rate, in isolation, would result in a significantly lower (higher) fair value measurement.</w:t>
      </w:r>
    </w:p>
    <w:p>
      <w:pPr>
        <w:spacing w:after="0" w:line="27" w:lineRule="exact"/>
        <w:rPr>
          <w:rFonts w:ascii="Times New Roman" w:cs="Times New Roman" w:eastAsia="Times New Roman" w:hAnsi="Times New Roman"/>
          <w:sz w:val="9"/>
          <w:szCs w:val="9"/>
          <w:color w:val="auto"/>
        </w:rPr>
      </w:pPr>
    </w:p>
    <w:p>
      <w:pPr>
        <w:ind w:left="280" w:hanging="272"/>
        <w:spacing w:after="0" w:line="192" w:lineRule="auto"/>
        <w:tabs>
          <w:tab w:leader="none" w:pos="28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Significant increases (decreases) in the CPR, in isolation, would result in a significantly lower (higher) fair value measurement.</w:t>
      </w:r>
    </w:p>
    <w:p>
      <w:pPr>
        <w:spacing w:after="0" w:line="3" w:lineRule="exact"/>
        <w:rPr>
          <w:rFonts w:ascii="Times New Roman" w:cs="Times New Roman" w:eastAsia="Times New Roman" w:hAnsi="Times New Roman"/>
          <w:sz w:val="19"/>
          <w:szCs w:val="19"/>
          <w:color w:val="auto"/>
          <w:vertAlign w:val="superscript"/>
        </w:rPr>
      </w:pPr>
    </w:p>
    <w:p>
      <w:pPr>
        <w:ind w:left="220" w:hanging="212"/>
        <w:spacing w:after="0" w:line="189" w:lineRule="auto"/>
        <w:tabs>
          <w:tab w:leader="none" w:pos="22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Significant increases (decreases) in the CDR, in isolation, would result in a significantly lower (higher) fair value measurement.</w:t>
      </w:r>
    </w:p>
    <w:p>
      <w:pPr>
        <w:spacing w:after="0" w:line="3" w:lineRule="exact"/>
        <w:rPr>
          <w:rFonts w:ascii="Times New Roman" w:cs="Times New Roman" w:eastAsia="Times New Roman" w:hAnsi="Times New Roman"/>
          <w:sz w:val="19"/>
          <w:szCs w:val="19"/>
          <w:color w:val="auto"/>
          <w:vertAlign w:val="superscript"/>
        </w:rPr>
      </w:pPr>
    </w:p>
    <w:p>
      <w:pPr>
        <w:ind w:left="180" w:hanging="172"/>
        <w:spacing w:after="0" w:line="211" w:lineRule="auto"/>
        <w:tabs>
          <w:tab w:leader="none" w:pos="333"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Significant increases (decreases) in the servicing rate in excess of servicing costs, in isolation, would result in a significantly higher (lower) fair value measurement. Values represent the weighted average total mortgage servicing amount, net of subservicing costs.</w:t>
      </w:r>
    </w:p>
    <w:p>
      <w:pPr>
        <w:ind w:left="280" w:hanging="272"/>
        <w:spacing w:after="0"/>
        <w:tabs>
          <w:tab w:leader="none" w:pos="28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Significant increases (decreases) in the severity, in isolation, would result in a significantly lower (higher) fair value measurement.</w:t>
      </w:r>
    </w:p>
    <w:p>
      <w:pPr>
        <w:spacing w:after="0" w:line="24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Unobservable inputs were weighted by respective fair value of each class.</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9" w:lineRule="auto"/>
        <w:tabs>
          <w:tab w:leader="none" w:pos="28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HELOC loans are measured at estimated fair value using a discounted cash flow valuation methodology, more specifically a residential mortgage cash flow model.</w:t>
      </w:r>
    </w:p>
    <w:p>
      <w:pPr>
        <w:spacing w:after="0" w:line="3" w:lineRule="exact"/>
        <w:rPr>
          <w:rFonts w:ascii="Times New Roman" w:cs="Times New Roman" w:eastAsia="Times New Roman" w:hAnsi="Times New Roman"/>
          <w:sz w:val="19"/>
          <w:szCs w:val="19"/>
          <w:color w:val="auto"/>
          <w:vertAlign w:val="superscript"/>
        </w:rPr>
      </w:pPr>
    </w:p>
    <w:p>
      <w:pPr>
        <w:ind w:left="280" w:hanging="272"/>
        <w:spacing w:after="0" w:line="187" w:lineRule="auto"/>
        <w:tabs>
          <w:tab w:leader="none" w:pos="280" w:val="left"/>
        </w:tabs>
        <w:numPr>
          <w:ilvl w:val="0"/>
          <w:numId w:val="3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Personal loans are measured at estimated fair value using a discounted cash flow valuation methodology, more specifically a loan cash flow model.</w:t>
      </w:r>
    </w:p>
    <w:p>
      <w:pPr>
        <w:ind w:left="260" w:hanging="252"/>
        <w:spacing w:after="0"/>
        <w:tabs>
          <w:tab w:leader="none" w:pos="26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contains residential transition loans, other mortgage loans, legacy mortgages and other unsecured loans. The Company reviews this loan pool each quarter for any material changes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and fair values the assets if such changes exist; if no changes, the Company fair values this loan pool on a yearly basis.</w:t>
      </w:r>
    </w:p>
    <w:p>
      <w:pPr>
        <w:spacing w:after="0" w:line="9" w:lineRule="exact"/>
        <w:rPr>
          <w:sz w:val="20"/>
          <w:szCs w:val="20"/>
          <w:color w:val="auto"/>
        </w:rPr>
      </w:pPr>
    </w:p>
    <w:p>
      <w:pPr>
        <w:jc w:val="both"/>
        <w:ind w:left="180" w:hanging="172"/>
        <w:spacing w:after="0"/>
        <w:tabs>
          <w:tab w:leader="none" w:pos="322"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Personal unsecured loans included in “Other” are measured at estimated fair value using a discounted cash flow valuation methodology, more specifically a loan cash flow model. The Company uses an estimated recovery from collections and recent sales to fair value personal loans that are 30 days past due; the fair value of such loans at December 31, 2025 were not material.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Valuation Input Sensitivity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tables summarize the estimated change in fair value of assets carried at fair value and classified within Level 3 of the fair value hierarchy for the unobservable inputs in “—Significant Valuation Inputs” at March 31, 2026.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 variations in an assumption generally may not be extrapolated because the relationship of the change in the assumption to the change in fair value may not be linear.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w:t>
            </w:r>
          </w:p>
        </w:tc>
        <w:tc>
          <w:tcPr>
            <w:tcW w:w="700" w:type="dxa"/>
            <w:vAlign w:val="bottom"/>
          </w:tcPr>
          <w:p>
            <w:pPr>
              <w:spacing w:after="0"/>
              <w:rPr>
                <w:sz w:val="16"/>
                <w:szCs w:val="16"/>
                <w:color w:val="auto"/>
              </w:rPr>
            </w:pPr>
          </w:p>
        </w:tc>
      </w:tr>
      <w:tr>
        <w:trPr>
          <w:trHeight w:val="23"/>
        </w:trPr>
        <w:tc>
          <w:tcPr>
            <w:tcW w:w="3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9"/>
        </w:trPr>
        <w:tc>
          <w:tcPr>
            <w:tcW w:w="3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Discount rate:</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0"/>
        </w:trPr>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Residual interest securities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22,882</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7.6 %  $</w:t>
            </w:r>
          </w:p>
        </w:tc>
        <w:tc>
          <w:tcPr>
            <w:tcW w:w="9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11,141</w:t>
            </w:r>
          </w:p>
        </w:tc>
        <w:tc>
          <w:tcPr>
            <w:tcW w:w="1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3.7 %  $</w:t>
            </w:r>
          </w:p>
        </w:tc>
        <w:tc>
          <w:tcPr>
            <w:tcW w:w="9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(10,617)</w:t>
            </w:r>
          </w:p>
        </w:tc>
        <w:tc>
          <w:tcPr>
            <w:tcW w:w="10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(3.5)%  $</w:t>
            </w:r>
          </w:p>
        </w:tc>
        <w:tc>
          <w:tcPr>
            <w:tcW w:w="10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(20,729)</w:t>
            </w:r>
          </w:p>
        </w:tc>
        <w:tc>
          <w:tcPr>
            <w:tcW w:w="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(6.9)%</w:t>
            </w:r>
          </w:p>
        </w:tc>
      </w:tr>
      <w:tr>
        <w:trPr>
          <w:trHeight w:val="19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Servicing assets: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0"/>
        </w:trPr>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HELOC loans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8,247</w:t>
            </w:r>
          </w:p>
        </w:tc>
        <w:tc>
          <w:tcPr>
            <w:tcW w:w="6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4,124</w:t>
            </w:r>
          </w:p>
        </w:tc>
        <w:tc>
          <w:tcPr>
            <w:tcW w:w="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(2,749)</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(5,498)</w:t>
            </w:r>
          </w:p>
        </w:tc>
        <w:tc>
          <w:tcPr>
            <w:tcW w:w="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(4.7)</w:t>
            </w:r>
          </w:p>
        </w:tc>
      </w:tr>
      <w:tr>
        <w:trPr>
          <w:trHeight w:val="195"/>
        </w:trPr>
        <w:tc>
          <w:tcPr>
            <w:tcW w:w="3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Mortgage loans</w:t>
            </w:r>
          </w:p>
        </w:tc>
        <w:tc>
          <w:tcPr>
            <w:tcW w:w="280" w:type="dxa"/>
            <w:vAlign w:val="bottom"/>
          </w:tcPr>
          <w:p>
            <w:pPr>
              <w:spacing w:after="0"/>
              <w:rPr>
                <w:sz w:val="16"/>
                <w:szCs w:val="16"/>
                <w:color w:val="auto"/>
              </w:rPr>
            </w:pPr>
          </w:p>
        </w:tc>
        <w:tc>
          <w:tcPr>
            <w:tcW w:w="9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207</w:t>
            </w: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99</w:t>
            </w:r>
          </w:p>
        </w:tc>
        <w:tc>
          <w:tcPr>
            <w:tcW w:w="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(91)</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(174)</w:t>
            </w: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(8.8)</w:t>
            </w:r>
          </w:p>
        </w:tc>
      </w:tr>
      <w:tr>
        <w:trPr>
          <w:trHeight w:val="21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195"/>
        </w:trPr>
        <w:tc>
          <w:tcPr>
            <w:tcW w:w="3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HELOC loans</w:t>
            </w:r>
          </w:p>
        </w:tc>
        <w:tc>
          <w:tcPr>
            <w:tcW w:w="280" w:type="dxa"/>
            <w:vAlign w:val="bottom"/>
          </w:tcPr>
          <w:p>
            <w:pPr>
              <w:spacing w:after="0"/>
              <w:rPr>
                <w:sz w:val="16"/>
                <w:szCs w:val="16"/>
                <w:color w:val="auto"/>
              </w:rPr>
            </w:pPr>
          </w:p>
        </w:tc>
        <w:tc>
          <w:tcPr>
            <w:tcW w:w="9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32,984</w:t>
            </w:r>
          </w:p>
        </w:tc>
        <w:tc>
          <w:tcPr>
            <w:tcW w:w="6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26,206</w:t>
            </w:r>
          </w:p>
        </w:tc>
        <w:tc>
          <w:tcPr>
            <w:tcW w:w="6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(30,413)</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(60,252)</w:t>
            </w:r>
          </w:p>
        </w:tc>
        <w:tc>
          <w:tcPr>
            <w:tcW w:w="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(7.2)</w:t>
            </w:r>
          </w:p>
        </w:tc>
      </w:tr>
      <w:tr>
        <w:trPr>
          <w:trHeight w:val="210"/>
        </w:trPr>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Personal loans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509</w:t>
            </w:r>
          </w:p>
        </w:tc>
        <w:tc>
          <w:tcPr>
            <w:tcW w:w="6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283</w:t>
            </w:r>
          </w:p>
        </w:tc>
        <w:tc>
          <w:tcPr>
            <w:tcW w:w="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(291)</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(577)</w:t>
            </w:r>
          </w:p>
        </w:tc>
        <w:tc>
          <w:tcPr>
            <w:tcW w:w="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(1.0)</w:t>
            </w: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+10%</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w:t>
            </w:r>
          </w:p>
        </w:tc>
        <w:tc>
          <w:tcPr>
            <w:tcW w:w="680" w:type="dxa"/>
            <w:vAlign w:val="bottom"/>
          </w:tcPr>
          <w:p>
            <w:pPr>
              <w:spacing w:after="0"/>
              <w:rPr>
                <w:sz w:val="16"/>
                <w:szCs w:val="16"/>
                <w:color w:val="auto"/>
              </w:rPr>
            </w:pPr>
          </w:p>
        </w:tc>
      </w:tr>
      <w:tr>
        <w:trPr>
          <w:trHeight w:val="23"/>
        </w:trPr>
        <w:tc>
          <w:tcPr>
            <w:tcW w:w="3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3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CPR:</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9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Residual interest securities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55,057</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17.3 %  $</w:t>
            </w: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25,990</w:t>
            </w: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8.2 %  $</w:t>
            </w:r>
          </w:p>
        </w:tc>
        <w:tc>
          <w:tcPr>
            <w:tcW w:w="10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(23,162)</w:t>
            </w:r>
          </w:p>
        </w:tc>
        <w:tc>
          <w:tcPr>
            <w:tcW w:w="10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(7.3)%  $</w:t>
            </w:r>
          </w:p>
        </w:tc>
        <w:tc>
          <w:tcPr>
            <w:tcW w:w="10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(44,305)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9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Servicing assets: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HELOC loans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8,247</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4,124</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(2,749)</w:t>
            </w: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(5,498)</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w:t>
            </w:r>
          </w:p>
        </w:tc>
      </w:tr>
      <w:tr>
        <w:trPr>
          <w:trHeight w:val="195"/>
        </w:trPr>
        <w:tc>
          <w:tcPr>
            <w:tcW w:w="3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Mortgage loans</w:t>
            </w:r>
          </w:p>
        </w:tc>
        <w:tc>
          <w:tcPr>
            <w:tcW w:w="28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80</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39</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(38)</w:t>
            </w: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(74)</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(3.8)</w:t>
            </w:r>
          </w:p>
        </w:tc>
      </w:tr>
      <w:tr>
        <w:trPr>
          <w:trHeight w:val="21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95"/>
        </w:trPr>
        <w:tc>
          <w:tcPr>
            <w:tcW w:w="3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HELOC loans</w:t>
            </w:r>
          </w:p>
        </w:tc>
        <w:tc>
          <w:tcPr>
            <w:tcW w:w="28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831</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557</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(765)</w:t>
            </w: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(1,729)</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(0.2)</w:t>
            </w:r>
          </w:p>
        </w:tc>
      </w:tr>
      <w:tr>
        <w:trPr>
          <w:trHeight w:val="210"/>
        </w:trPr>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Personal loans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CDR:</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19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Residual interest securities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14,762</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7,316</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(7,004)</w:t>
            </w: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(14,157)</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w:t>
            </w:r>
          </w:p>
        </w:tc>
      </w:tr>
      <w:tr>
        <w:trPr>
          <w:trHeight w:val="19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Servicing assets: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HELOC loans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3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held for sale: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3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HELOC loans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2,194</w:t>
            </w:r>
          </w:p>
        </w:tc>
        <w:tc>
          <w:tcPr>
            <w:tcW w:w="6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557</w:t>
            </w:r>
          </w:p>
        </w:tc>
        <w:tc>
          <w:tcPr>
            <w:tcW w:w="6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(1,084)</w:t>
            </w: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(2,178)</w:t>
            </w:r>
          </w:p>
        </w:tc>
        <w:tc>
          <w:tcPr>
            <w:tcW w:w="6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(0.3)</w:t>
            </w:r>
          </w:p>
        </w:tc>
      </w:tr>
      <w:tr>
        <w:trPr>
          <w:trHeight w:val="195"/>
        </w:trPr>
        <w:tc>
          <w:tcPr>
            <w:tcW w:w="3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Personal loans</w:t>
            </w:r>
          </w:p>
        </w:tc>
        <w:tc>
          <w:tcPr>
            <w:tcW w:w="28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3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19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Servicing rate: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Servicing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88"/>
        </w:trPr>
        <w:tc>
          <w:tcPr>
            <w:tcW w:w="32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HELOC loans</w:t>
            </w:r>
          </w:p>
        </w:tc>
        <w:tc>
          <w:tcPr>
            <w:tcW w:w="28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9,622</w:t>
            </w:r>
          </w:p>
        </w:tc>
        <w:tc>
          <w:tcPr>
            <w:tcW w:w="6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5,498</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(4,124)</w:t>
            </w:r>
          </w:p>
        </w:tc>
        <w:tc>
          <w:tcPr>
            <w:tcW w:w="6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(9,622)</w:t>
            </w:r>
          </w:p>
        </w:tc>
        <w:tc>
          <w:tcPr>
            <w:tcW w:w="6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w:t>
            </w:r>
          </w:p>
        </w:tc>
      </w:tr>
    </w:tbl>
    <w:p>
      <w:pPr>
        <w:spacing w:after="0" w:line="200" w:lineRule="exact"/>
        <w:rPr>
          <w:sz w:val="20"/>
          <w:szCs w:val="20"/>
          <w:color w:val="auto"/>
        </w:rPr>
      </w:pPr>
    </w:p>
    <w:p>
      <w:pPr>
        <w:spacing w:after="0" w:line="29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activities involving the Company’s marketable securities that are measured at fair value and classified within Level 3 of the fair value hierarchy for the three months ended March 31, 2026 and 2025: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34,506</w:t>
            </w:r>
          </w:p>
        </w:tc>
      </w:tr>
      <w:tr>
        <w:trPr>
          <w:trHeight w:val="203"/>
        </w:trPr>
        <w:tc>
          <w:tcPr>
            <w:tcW w:w="97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Purchases</w:t>
            </w:r>
            <w:r>
              <w:rPr>
                <w:rFonts w:ascii="Times New Roman" w:cs="Times New Roman" w:eastAsia="Times New Roman" w:hAnsi="Times New Roman"/>
                <w:sz w:val="18"/>
                <w:szCs w:val="18"/>
                <w:color w:val="auto"/>
                <w:vertAlign w:val="superscript"/>
              </w:rPr>
              <w:t>(A)</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w:t>
            </w:r>
          </w:p>
        </w:tc>
      </w:tr>
      <w:tr>
        <w:trPr>
          <w:trHeight w:val="203"/>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payments</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(4,818)</w:t>
            </w:r>
          </w:p>
        </w:tc>
      </w:tr>
      <w:tr>
        <w:trPr>
          <w:trHeight w:val="203"/>
        </w:trPr>
        <w:tc>
          <w:tcPr>
            <w:tcW w:w="9760" w:type="dxa"/>
            <w:vAlign w:val="bottom"/>
            <w:tcBorders>
              <w:bottom w:val="single" w:sz="8" w:color="CCEEFF"/>
            </w:tcBorders>
          </w:tcPr>
          <w:p>
            <w:pPr>
              <w:ind w:left="140"/>
              <w:spacing w:after="0" w:line="202" w:lineRule="exact"/>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8"/>
                <w:szCs w:val="18"/>
                <w:color w:val="auto"/>
                <w:vertAlign w:val="superscript"/>
              </w:rPr>
              <w:t>(B)</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2,073</w:t>
            </w:r>
          </w:p>
        </w:tc>
      </w:tr>
      <w:tr>
        <w:trPr>
          <w:trHeight w:val="221"/>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56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34,558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9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40,166</w:t>
            </w:r>
          </w:p>
        </w:tc>
      </w:tr>
      <w:tr>
        <w:trPr>
          <w:trHeight w:val="203"/>
        </w:trPr>
        <w:tc>
          <w:tcPr>
            <w:tcW w:w="97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Purchases</w:t>
            </w:r>
            <w:r>
              <w:rPr>
                <w:rFonts w:ascii="Times New Roman" w:cs="Times New Roman" w:eastAsia="Times New Roman" w:hAnsi="Times New Roman"/>
                <w:sz w:val="18"/>
                <w:szCs w:val="18"/>
                <w:color w:val="auto"/>
                <w:vertAlign w:val="superscript"/>
              </w:rPr>
              <w:t>(A)</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3,523</w:t>
            </w:r>
          </w:p>
        </w:tc>
      </w:tr>
      <w:tr>
        <w:trPr>
          <w:trHeight w:val="203"/>
        </w:trPr>
        <w:tc>
          <w:tcPr>
            <w:tcW w:w="97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Sales</w:t>
            </w:r>
            <w:r>
              <w:rPr>
                <w:rFonts w:ascii="Times New Roman" w:cs="Times New Roman" w:eastAsia="Times New Roman" w:hAnsi="Times New Roman"/>
                <w:sz w:val="18"/>
                <w:szCs w:val="18"/>
                <w:color w:val="auto"/>
                <w:vertAlign w:val="superscript"/>
              </w:rPr>
              <w:t>(C)</w:t>
            </w: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(8,958)</w:t>
            </w:r>
          </w:p>
        </w:tc>
      </w:tr>
      <w:tr>
        <w:trPr>
          <w:trHeight w:val="195"/>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payments</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r>
      <w:tr>
        <w:trPr>
          <w:trHeight w:val="21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w:t>
            </w:r>
            <w:r>
              <w:rPr>
                <w:rFonts w:ascii="Times New Roman" w:cs="Times New Roman" w:eastAsia="Times New Roman" w:hAnsi="Times New Roman"/>
                <w:sz w:val="18"/>
                <w:szCs w:val="18"/>
                <w:color w:val="auto"/>
                <w:vertAlign w:val="superscript"/>
              </w:rPr>
              <w:t>(B)</w:t>
            </w:r>
          </w:p>
        </w:tc>
        <w:tc>
          <w:tcPr>
            <w:tcW w:w="5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r>
      <w:tr>
        <w:trPr>
          <w:trHeight w:val="196"/>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5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31,915</w:t>
            </w:r>
          </w:p>
        </w:tc>
      </w:tr>
      <w:tr>
        <w:trPr>
          <w:trHeight w:val="21"/>
        </w:trPr>
        <w:tc>
          <w:tcPr>
            <w:tcW w:w="9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40" w:hanging="232"/>
        <w:spacing w:after="0"/>
        <w:tabs>
          <w:tab w:leader="none" w:pos="240" w:val="left"/>
        </w:tabs>
        <w:numPr>
          <w:ilvl w:val="0"/>
          <w:numId w:val="3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premiums paid on the purchased notes.</w:t>
      </w:r>
    </w:p>
    <w:p>
      <w:pPr>
        <w:spacing w:after="0" w:line="30" w:lineRule="exact"/>
        <w:rPr>
          <w:rFonts w:ascii="Times New Roman" w:cs="Times New Roman" w:eastAsia="Times New Roman" w:hAnsi="Times New Roman"/>
          <w:sz w:val="19"/>
          <w:szCs w:val="19"/>
          <w:color w:val="auto"/>
          <w:vertAlign w:val="superscript"/>
        </w:rPr>
      </w:pPr>
    </w:p>
    <w:p>
      <w:pPr>
        <w:ind w:left="220" w:hanging="212"/>
        <w:spacing w:after="0" w:line="215" w:lineRule="auto"/>
        <w:tabs>
          <w:tab w:leader="none" w:pos="220"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w:t>
      </w:r>
      <w:r>
        <w:rPr>
          <w:rFonts w:ascii="Times New Roman" w:cs="Times New Roman" w:eastAsia="Times New Roman" w:hAnsi="Times New Roman"/>
          <w:sz w:val="17"/>
          <w:szCs w:val="17"/>
          <w:color w:val="auto"/>
        </w:rPr>
        <w:t>ed</w:t>
      </w:r>
      <w:r>
        <w:rPr>
          <w:rFonts w:ascii="Times New Roman" w:cs="Times New Roman" w:eastAsia="Times New Roman" w:hAnsi="Times New Roman"/>
          <w:sz w:val="14"/>
          <w:szCs w:val="14"/>
          <w:color w:val="auto"/>
        </w:rPr>
        <w:t xml:space="preserve"> in “Marketable securities income, net” in the Condensed Consolidated Statements of Operations.</w:t>
      </w:r>
    </w:p>
    <w:p>
      <w:pPr>
        <w:ind w:left="180" w:hanging="172"/>
        <w:spacing w:after="0" w:line="278" w:lineRule="auto"/>
        <w:tabs>
          <w:tab w:leader="none" w:pos="236"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marketable securities held by Figure REIT, Inc. that were included in the deconsolidation of Figure REIT, Inc. See Note 7, “Noncontrolling Interests in Consolidated Subsidiaries”, for further discussion.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Not Measured at Fair Value on a Recurring Basis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the liabilities that are not measured at fair value on a recurring basis at March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6"/>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203"/>
        </w:trPr>
        <w:tc>
          <w:tcPr>
            <w:tcW w:w="46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Financed retained interests</w:t>
            </w:r>
            <w:r>
              <w:rPr>
                <w:rFonts w:ascii="Times New Roman" w:cs="Times New Roman" w:eastAsia="Times New Roman" w:hAnsi="Times New Roman"/>
                <w:sz w:val="18"/>
                <w:szCs w:val="18"/>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263,796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257,750</w:t>
            </w:r>
          </w:p>
        </w:tc>
        <w:tc>
          <w:tcPr>
            <w:tcW w:w="100" w:type="dxa"/>
            <w:vAlign w:val="bottom"/>
          </w:tcPr>
          <w:p>
            <w:pPr>
              <w:spacing w:after="0"/>
              <w:rPr>
                <w:sz w:val="17"/>
                <w:szCs w:val="17"/>
                <w:color w:val="auto"/>
              </w:rPr>
            </w:pPr>
          </w:p>
        </w:tc>
        <w:tc>
          <w:tcPr>
            <w:tcW w:w="94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257,750</w:t>
            </w:r>
          </w:p>
        </w:tc>
      </w:tr>
      <w:tr>
        <w:trPr>
          <w:trHeight w:val="22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257,750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96"/>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203"/>
        </w:trPr>
        <w:tc>
          <w:tcPr>
            <w:tcW w:w="466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Financed retained interests</w:t>
            </w:r>
            <w:r>
              <w:rPr>
                <w:rFonts w:ascii="Times New Roman" w:cs="Times New Roman" w:eastAsia="Times New Roman" w:hAnsi="Times New Roman"/>
                <w:sz w:val="18"/>
                <w:szCs w:val="18"/>
                <w:color w:val="auto"/>
                <w:vertAlign w:val="superscript"/>
              </w:rPr>
              <w:t>(A)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231,633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233,684</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39,467</w:t>
            </w:r>
          </w:p>
        </w:tc>
        <w:tc>
          <w:tcPr>
            <w:tcW w:w="10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273,151</w:t>
            </w:r>
          </w:p>
        </w:tc>
      </w:tr>
      <w:tr>
        <w:trPr>
          <w:trHeight w:val="221"/>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231,633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273,151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hanging="172"/>
        <w:spacing w:after="0" w:line="230" w:lineRule="auto"/>
        <w:tabs>
          <w:tab w:leader="none" w:pos="328"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Financed retained interests classified as Level 2 in the fair value hierarchy were valued with a discounted cash flow model using collateral contractual terms and discount rates of similar instruments that include default and prepayment expectations as observable inputs.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not carried at fair value, including financed retained interests, is presented at the face amount, net of debt issuance costs that are amortized over the contractual term using the effective interest method. The carrying value of debt associated with the warehouse facilities and servicing rights financing approximates the fair value due to their relatively short maturities.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calculates the provision for income taxes during interim periods by applying an estimated annual effective tax rate to “ordinary” income or loss (pretax income or loss excluding unusual or infrequently occurring discrete items) for the reporting period. Our effective tax rate may be subject to fluctuations during the year due to impacts from the following items: (i) changes in forecasted pre-tax and taxable income or loss, (ii) changes in statutory law or regulations in</w:t>
      </w:r>
    </w:p>
    <w:p>
      <w:pPr>
        <w:spacing w:after="0" w:line="36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tables in thousands, except share and per share data, units, ratios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jurisdictions where we operate, (iii) audits or settlements with taxing authorities, (iv) changes in valuation allowance assumptions, and (v) changes due to employee equity exercises.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income tax provision for the three months ended March 31, 2026 is a benefit of $6.9 million and expense of $1.2 million for the three months ended March 31, 2025. The income tax benefit for the three months ended March 31, 2026, primarily represents a discrete benefit arising from excess windfall benefit due to stock exercises during the quarter.</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the Company continues to maintain a valuation allowance against certain federal and state deferred tax assets. Management will continue to assess the realizability of deferred tax assets in future periods, and any changes could impact our income tax expense.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 None of the unrecognized tax benefits would affect the Company’s effective tax rate if these amounts were recognized due to our full valuation allowance.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operations and resulting income taxes are calculated as if the Company filed a combined, separate federal income tax return until the Recombination. All tax years since inception are subject to examination by tax authorities. The Company is currently not under examination by any federal or state jurisdiction.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events occurred subsequent to March 31, 2026 through May 14, 2026, the date at which the Company’s Condensed Consolidated Financial Statements were available to be issued.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Warehouse Facility 5</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2026, the Company amended its agreement with Warehouse Facility 5 to extend the maturity date to July 2026. No other terms of the agreement were amended.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Warehouse Facility 7</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2026, the Company entered into a master participation interest purchase and sales agreement with Warehouse Facility 7, which establishes the terms and conditions under which the Company may enter into transactions from time to time. The agreement provides for a maximum aggregate financing capacity of $250.0 million and has an initial term of one year. As of May 14, 2026, the Company carried $31.7 million of debt at cost in connection with the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39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Condensed Consolidated Financial Statements and the related notes appearing elsewhere in this Quarterly Report on Form 10-Q, as well as our audited consolidated financial statements and related notes as disclosed in our Annual Report on Form 10-K for the year ended December 31, 2025, filed with the SEC on March 16, 2026 (the “2025 Form 10-K”). Some of the information contained in this discussion and analysis or set forth elsewhere in this Quarterly Report, including information with respect to our plans and strategy for our business, includes forward-looking statements that involve risks and uncertainties. You should read the section titled “Special Note Regarding Forward-Looking Statements” in this Quarterly Report and “Risk Factors” in our 2025 Form 10-K for a discussion of important factors that could cause actual results to differ materially from the results described in or implied by the forward-looking statements contained in the following discussion and analysis. U.S. Dollars appearing in tables are presented in thousands unless otherwise indicated.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Figure is building the future of capital markets using blockchain-based technology. Financial services have historically been and are still trust-based markets, which require intermediation. Large institutional companies have been built around this. Blockchain-based technology has the power to distill these multi-party marketplaces down to just two: buyer and seller.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Blockchain can do more than disrupt existing markets. By taking historically illiquid assets, such as loans, and putting these assets and their performance history on-chain, blockchain is able to bring liquidity to historically static markets. That liquidity, coupled with the ability to achieve true digital perfection and control, opens previously inaccessible financing opportunities that were not accessible before.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there are three core benefits blockchain delivers to the capital markets. The first is transactional: the reduction of audit, quality control, third-party review and other expenses. The second is liquidity: the ability to support 24x7, real-time bilateral marketplaces. The third is financing: the democratization of capital access through programmable smart contracts that enable peer-to-peer funding and real time loan perfection.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Figure’s proprietary technology powers next-generation lending, trading and investing activities in areas such as consumer credit and digital assets. Our application of the blockchain ledger allows us to better serve our end-customers, increase speed and efficiency, and enhance standardization and liquidity. Using our technology, we continue to develop dynamic, vertically-integrated marketplaces.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Launch</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2026, we launched the On-Chain Public Equity Network (“OPEN”), a blockchain-based network designed to modernize the underlying infrastructure that supports the issuance, trading, custody and lending of public equity securities.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OPEN enables companies to issue their equity natively on the Provenance Blockchain and make it available for secondary market trading on our ATS. OPEN is designed to reduce reliance on traditional centralized market infrastructure and to provide new capabilities for public companies and shareholders. These capabilities are anticipated to include lower costs and capital requirements compared to existing clearing and settlement models, greater access to trading through self-custody and self-settlement mechanisms that can reduce the need for custodial intermediaries, and portfolio margining across digital and tokenized assets.</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support frictionless two-way exchangeability between our securities issued on OPEN and our listed Class A common stock, a capability that we expect to make available to future OPEN issuers. This exchangeability is intended to promote liquidity and prices near par between blockchain securities and securities listed on national market exchanges.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Blockchain Common Stock Offering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2026, the Company successfully completed a secondary public offering of 4,375,000 shares of its Series A Blockchain Common Stock ("Blockchain Stock"). The selling stockholders in the offering agreed to sell 4,687,500 shares of Class A common stock to the underwriters. The Company did not raise proceeds through this offering. In conjunction</w:t>
      </w:r>
    </w:p>
    <w:p>
      <w:pPr>
        <w:spacing w:after="0" w:line="36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with the offering, the Company repurchased 312,500 of our Class A common stock, subsequently held in treasury, that were subject to the offering at an aggregate amount of approximately $10 million at $32.00 per share.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Blockchain Stock is a new class of equity security that trades exclusively on the Company’s ATS, allowing for trading 24 hours per day, 7 days per week. The Blockchain Stock provides the ability for holders to lend their stock transparently and utilize cross-asset collateralization through DeFi protocols. The offering served as the foundational launch of OPEN.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25, 2026, the Company’s Board of Directors authorized a Share Repurchase Program under which the Company may repurchase up to $200 million of its Class A common stock and Blockchain common stock over the next 12 months subject to market conditions, contractual restrictions and other factors.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Repurchases under the Share Repurchase Program may be made from time to time in the open market, through privately negotiated transactions, accelerated share repurchase transactions, or by other means in accordance with applicable securities laws and regulations. The timing, number of shares repurchased, and prices paid will depend on market conditions, share price, trading volume, corporate considerations, and other factors. Open market repurchases will be structured to occur within the pricing and volume requirements of Rule 10b-18. The Company may also, from time to time, enter into Rule 10b5-1 plans to facilitate repurchases of its shares under this authorization.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Share Repurchase Program does not obligate the Company to acquire any particular amount of stock and the program may be extended, modified, suspended or discontinued at any time at the Company’s discretion.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 several key performance measures, discussed below, to evaluate our business and results, measure performance, identify trends, formulate plans, and make strategic decisions. We believe that the presentation of such metrics is useful to our investors and counterparties because they are used to measure and model the performance of companies similar to us using similar metrics.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key performance measures that we use to evaluate our business for the three months ended March 31, 2026 and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7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Ecosystem volume</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3,720,418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1,577,710</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Consumer loan marketplace volume</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2,902,378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1,365,136</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4"/>
                <w:szCs w:val="14"/>
                <w:color w:val="auto"/>
              </w:rPr>
              <w:t>Partner-branded volume</w:t>
            </w:r>
            <w:r>
              <w:rPr>
                <w:rFonts w:ascii="Times New Roman" w:cs="Times New Roman" w:eastAsia="Times New Roman" w:hAnsi="Times New Roman"/>
                <w:sz w:val="18"/>
                <w:szCs w:val="18"/>
                <w:color w:val="auto"/>
                <w:vertAlign w:val="superscript"/>
              </w:rPr>
              <w:t>(3)</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2,265,341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1,045,059</w:t>
            </w:r>
          </w:p>
        </w:tc>
        <w:tc>
          <w:tcPr>
            <w:tcW w:w="0" w:type="dxa"/>
            <w:vAlign w:val="bottom"/>
          </w:tcPr>
          <w:p>
            <w:pPr>
              <w:spacing w:after="0"/>
              <w:rPr>
                <w:sz w:val="1"/>
                <w:szCs w:val="1"/>
                <w:color w:val="auto"/>
              </w:rPr>
            </w:pPr>
          </w:p>
        </w:tc>
      </w:tr>
      <w:tr>
        <w:trPr>
          <w:trHeight w:val="203"/>
        </w:trPr>
        <w:tc>
          <w:tcPr>
            <w:tcW w:w="7780" w:type="dxa"/>
            <w:vAlign w:val="bottom"/>
          </w:tcPr>
          <w:p>
            <w:pPr>
              <w:ind w:left="360"/>
              <w:spacing w:after="0" w:line="202" w:lineRule="exact"/>
              <w:rPr>
                <w:sz w:val="20"/>
                <w:szCs w:val="20"/>
                <w:color w:val="auto"/>
              </w:rPr>
            </w:pPr>
            <w:r>
              <w:rPr>
                <w:rFonts w:ascii="Times New Roman" w:cs="Times New Roman" w:eastAsia="Times New Roman" w:hAnsi="Times New Roman"/>
                <w:sz w:val="14"/>
                <w:szCs w:val="14"/>
                <w:color w:val="auto"/>
              </w:rPr>
              <w:t>Figure-branded volume</w:t>
            </w:r>
            <w:r>
              <w:rPr>
                <w:rFonts w:ascii="Times New Roman" w:cs="Times New Roman" w:eastAsia="Times New Roman" w:hAnsi="Times New Roman"/>
                <w:sz w:val="18"/>
                <w:szCs w:val="18"/>
                <w:color w:val="auto"/>
                <w:vertAlign w:val="superscript"/>
              </w:rPr>
              <w:t>(4)</w:t>
            </w: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637,037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320,077</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Digital asset marketplace volume</w:t>
            </w:r>
            <w:r>
              <w:rPr>
                <w:rFonts w:ascii="Times New Roman" w:cs="Times New Roman" w:eastAsia="Times New Roman" w:hAnsi="Times New Roman"/>
                <w:sz w:val="18"/>
                <w:szCs w:val="18"/>
                <w:color w:val="auto"/>
                <w:vertAlign w:val="superscript"/>
              </w:rPr>
              <w:t>(5)</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818,040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212,574</w:t>
            </w:r>
          </w:p>
        </w:tc>
        <w:tc>
          <w:tcPr>
            <w:tcW w:w="0" w:type="dxa"/>
            <w:vAlign w:val="bottom"/>
          </w:tcPr>
          <w:p>
            <w:pPr>
              <w:spacing w:after="0"/>
              <w:rPr>
                <w:sz w:val="1"/>
                <w:szCs w:val="1"/>
                <w:color w:val="auto"/>
              </w:rPr>
            </w:pPr>
          </w:p>
        </w:tc>
      </w:tr>
      <w:tr>
        <w:trPr>
          <w:trHeight w:val="203"/>
        </w:trPr>
        <w:tc>
          <w:tcPr>
            <w:tcW w:w="77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Figure connect volume</w:t>
            </w:r>
            <w:r>
              <w:rPr>
                <w:rFonts w:ascii="Times New Roman" w:cs="Times New Roman" w:eastAsia="Times New Roman" w:hAnsi="Times New Roman"/>
                <w:sz w:val="18"/>
                <w:szCs w:val="18"/>
                <w:color w:val="auto"/>
                <w:vertAlign w:val="superscript"/>
              </w:rPr>
              <w:t>(6)</w:t>
            </w: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1,611,840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477,904</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Net take rate</w:t>
            </w:r>
            <w:r>
              <w:rPr>
                <w:rFonts w:ascii="Times New Roman" w:cs="Times New Roman" w:eastAsia="Times New Roman" w:hAnsi="Times New Roman"/>
                <w:sz w:val="18"/>
                <w:szCs w:val="18"/>
                <w:color w:val="auto"/>
                <w:vertAlign w:val="superscript"/>
              </w:rPr>
              <w:t>(7)</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167,007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84,510</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45,047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revenue</w:t>
            </w:r>
            <w:r>
              <w:rPr>
                <w:rFonts w:ascii="Times New Roman" w:cs="Times New Roman" w:eastAsia="Times New Roman" w:hAnsi="Times New Roman"/>
                <w:sz w:val="18"/>
                <w:szCs w:val="18"/>
                <w:color w:val="auto"/>
                <w:vertAlign w:val="superscript"/>
              </w:rPr>
              <w:t>(8)</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166,843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86,982</w:t>
            </w:r>
          </w:p>
        </w:tc>
        <w:tc>
          <w:tcPr>
            <w:tcW w:w="0" w:type="dxa"/>
            <w:vAlign w:val="bottom"/>
          </w:tcPr>
          <w:p>
            <w:pPr>
              <w:spacing w:after="0"/>
              <w:rPr>
                <w:sz w:val="1"/>
                <w:szCs w:val="1"/>
                <w:color w:val="auto"/>
              </w:rPr>
            </w:pPr>
          </w:p>
        </w:tc>
      </w:tr>
      <w:tr>
        <w:trPr>
          <w:trHeight w:val="246"/>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(8)</w:t>
            </w:r>
          </w:p>
        </w:tc>
        <w:tc>
          <w:tcPr>
            <w:tcW w:w="360" w:type="dxa"/>
            <w:vAlign w:val="bottom"/>
          </w:tcPr>
          <w:p>
            <w:pPr>
              <w:spacing w:after="0"/>
              <w:rPr>
                <w:sz w:val="21"/>
                <w:szCs w:val="21"/>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82,696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28,344</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7"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Ecosystem Volume consists of Consumer Loan Marketplace Volume and Digital Asset Marketplace Volume.</w:t>
      </w:r>
    </w:p>
    <w:p>
      <w:pPr>
        <w:spacing w:after="0" w:line="11"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3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Consumer Loan Marketplace Volume as the total U.S. dollar equivalent value of originations of HELOCs, DSCR, and personal loans on our LOS, as well as the volume of third-party loans traded on Figure Connect. We believe this measure is an indication of our scale and represents a potential revenue opportunity from the technology used for consumer credit loan originations.</w:t>
      </w:r>
    </w:p>
    <w:p>
      <w:pPr>
        <w:spacing w:after="0" w:line="1"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Partner-branded Volume as the total U.S. dollar equivalent value of loans originated using our LOS under our partners’ brands. Partner-branded volume is inclusive of Figure Connect Volume.</w:t>
      </w: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Figure-branded Volume as the total U.S. dollar equivalent value of loans originated using our LOS under our brand.</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Digital Asset Marketplace Volume as the total U.S. dollar equivalent value of matched trades transacted between a buyer and seller through Figure Exchange. We believe this measure is an indication of our scale and represents a potential opportunity for our digital asset offering.</w:t>
      </w:r>
    </w:p>
    <w:p>
      <w:pPr>
        <w:ind w:left="340" w:hanging="332"/>
        <w:spacing w:after="0" w:line="251" w:lineRule="auto"/>
        <w:tabs>
          <w:tab w:leader="none" w:pos="3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Figure Connect Volume as the total U.S. dollar equivalent value of Consumer Loan Marketplace Volume originated by third-party sellers through our Figure Connect marketplace. We believe this measure is a reflection of the underlying growth of our Figure Connect ecosystem.</w:t>
      </w:r>
    </w:p>
    <w:p>
      <w:pPr>
        <w:ind w:left="340" w:hanging="332"/>
        <w:spacing w:after="0" w:line="283" w:lineRule="auto"/>
        <w:tabs>
          <w:tab w:leader="none" w:pos="3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Take Rate is derived from the sum of ecosystem and technology fees, origination fees, gain on sale of loans, net and gain on servicing asset, net from our Condensed Consolidated Statements of Operations. These items represent revenue generated from Figure-branded and Partner-branded</w:t>
      </w:r>
    </w:p>
    <w:p>
      <w:pPr>
        <w:spacing w:after="0" w:line="19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1" w:name="page42"/>
    <w:bookmarkEnd w:id="41"/>
    <w:p>
      <w:pPr>
        <w:ind w:left="340" w:right="20"/>
        <w:spacing w:after="0" w:line="271" w:lineRule="auto"/>
        <w:rPr>
          <w:sz w:val="20"/>
          <w:szCs w:val="20"/>
          <w:color w:val="auto"/>
        </w:rPr>
      </w:pPr>
      <w:r>
        <w:rPr>
          <w:rFonts w:ascii="Times New Roman" w:cs="Times New Roman" w:eastAsia="Times New Roman" w:hAnsi="Times New Roman"/>
          <w:sz w:val="14"/>
          <w:szCs w:val="14"/>
          <w:color w:val="auto"/>
        </w:rPr>
        <w:t>volume. Valuation changes in fair value of mortgage servicing rights, which we believe are not indicative of operating performance, and marketing expenses in our operating expenses are deducted. This net amount is divided by overall consumer loan marketplace volume for that period.</w:t>
      </w:r>
    </w:p>
    <w:p>
      <w:pPr>
        <w:ind w:left="340" w:right="20" w:hanging="332"/>
        <w:spacing w:after="0" w:line="263"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definitions of Adjusted Net Revenue and Adjusted EBITDA and reconciliations to our most directly comparable financial measures calculated and presented in accordance with GAAP, see “—Non-GAAP Financial Measures.”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202"/>
        </w:trPr>
        <w:tc>
          <w:tcPr>
            <w:tcW w:w="7780" w:type="dxa"/>
            <w:vAlign w:val="bottom"/>
            <w:tcBorders>
              <w:top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YLDS in circulation</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598,047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195"/>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Democratized Prime:</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Matched offers balance</w:t>
            </w:r>
            <w:r>
              <w:rPr>
                <w:rFonts w:ascii="Times New Roman" w:cs="Times New Roman" w:eastAsia="Times New Roman" w:hAnsi="Times New Roman"/>
                <w:sz w:val="18"/>
                <w:szCs w:val="18"/>
                <w:color w:val="auto"/>
                <w:vertAlign w:val="superscript"/>
              </w:rPr>
              <w:t>(2)</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367,932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7780" w:type="dxa"/>
            <w:vAlign w:val="bottom"/>
          </w:tcPr>
          <w:p>
            <w:pPr>
              <w:ind w:left="140"/>
              <w:spacing w:after="0" w:line="202" w:lineRule="exact"/>
              <w:rPr>
                <w:sz w:val="20"/>
                <w:szCs w:val="20"/>
                <w:color w:val="auto"/>
              </w:rPr>
            </w:pPr>
            <w:r>
              <w:rPr>
                <w:rFonts w:ascii="Times New Roman" w:cs="Times New Roman" w:eastAsia="Times New Roman" w:hAnsi="Times New Roman"/>
                <w:sz w:val="14"/>
                <w:szCs w:val="14"/>
                <w:color w:val="auto"/>
              </w:rPr>
              <w:t>Borrower demand</w:t>
            </w:r>
            <w:r>
              <w:rPr>
                <w:rFonts w:ascii="Times New Roman" w:cs="Times New Roman" w:eastAsia="Times New Roman" w:hAnsi="Times New Roman"/>
                <w:sz w:val="18"/>
                <w:szCs w:val="18"/>
                <w:color w:val="auto"/>
                <w:vertAlign w:val="superscript"/>
              </w:rPr>
              <w:t>(3)</w:t>
            </w:r>
          </w:p>
        </w:tc>
        <w:tc>
          <w:tcPr>
            <w:tcW w:w="2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ind w:left="11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4"/>
                <w:szCs w:val="14"/>
                <w:color w:val="auto"/>
              </w:rPr>
              <w:t>Available lender supply</w:t>
            </w:r>
            <w:r>
              <w:rPr>
                <w:rFonts w:ascii="Times New Roman" w:cs="Times New Roman" w:eastAsia="Times New Roman" w:hAnsi="Times New Roman"/>
                <w:sz w:val="18"/>
                <w:szCs w:val="18"/>
                <w:color w:val="auto"/>
                <w:vertAlign w:val="superscript"/>
              </w:rPr>
              <w:t>(4)</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452,778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7" w:lineRule="exact"/>
        <w:rPr>
          <w:sz w:val="20"/>
          <w:szCs w:val="20"/>
          <w:color w:val="auto"/>
        </w:rPr>
      </w:pPr>
    </w:p>
    <w:p>
      <w:pPr>
        <w:ind w:left="340" w:right="20" w:hanging="332"/>
        <w:spacing w:after="0" w:line="251" w:lineRule="auto"/>
        <w:tabs>
          <w:tab w:leader="none" w:pos="33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YLDS in Circulation as the total U.S. dollar equivalent value of unsecured face-amount certificates solely backed by the assets of Figure Certificate Company (FCC), which is the issuer of the certificates.</w:t>
      </w: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Matched Offers as the U.S. dollar equivalent value of offers matched between borrower and lenders on the Democratized Prime platform.</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Borrower Demand as the U.S. dollar equivalent value that borrowers seek to borrow from the lending pool on the Democratized Prime platform.</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Lender Supply as the U.S. dollar equivalent value that lenders have made available in the lending pool on the Democratized Prime platform.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Performance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our performance depends, and will in the future depend, on many factors, including those described in Part II, Item 7. Management’s Discussion and Analysis of Financial Condition and Results of Operations of our 2025 Form 10-K, to which there have been no material changes.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Characteristics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characteristics of loans we originated or purchased for the three months ended March 31, 2026 and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292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r>
      <w:tr>
        <w:trPr>
          <w:trHeight w:val="189"/>
        </w:trPr>
        <w:tc>
          <w:tcPr>
            <w:tcW w:w="77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HELOC Loans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w:t>
            </w:r>
          </w:p>
        </w:tc>
        <w:tc>
          <w:tcPr>
            <w:tcW w:w="1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r>
      <w:tr>
        <w:trPr>
          <w:trHeight w:val="195"/>
        </w:trPr>
        <w:tc>
          <w:tcPr>
            <w:tcW w:w="7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Partner-branded:</w:t>
            </w: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 term (in months)</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295</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309</w:t>
            </w:r>
          </w:p>
        </w:tc>
      </w:tr>
      <w:tr>
        <w:trPr>
          <w:trHeight w:val="195"/>
        </w:trPr>
        <w:tc>
          <w:tcPr>
            <w:tcW w:w="7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Customer interest rate</w:t>
            </w:r>
          </w:p>
        </w:tc>
        <w:tc>
          <w:tcPr>
            <w:tcW w:w="1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9.8 %</w:t>
            </w:r>
          </w:p>
        </w:tc>
      </w:tr>
      <w:tr>
        <w:trPr>
          <w:trHeight w:val="21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FICO score</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756</w:t>
            </w:r>
          </w:p>
        </w:tc>
      </w:tr>
      <w:tr>
        <w:trPr>
          <w:trHeight w:val="195"/>
        </w:trPr>
        <w:tc>
          <w:tcPr>
            <w:tcW w:w="7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 balance (in thousands)</w:t>
            </w:r>
          </w:p>
        </w:tc>
        <w:tc>
          <w:tcPr>
            <w:tcW w:w="11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140" w:type="dxa"/>
            <w:vAlign w:val="bottom"/>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95</w:t>
            </w:r>
          </w:p>
        </w:tc>
      </w:tr>
      <w:tr>
        <w:trPr>
          <w:trHeight w:val="21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Figure-branded:</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5"/>
        </w:trPr>
        <w:tc>
          <w:tcPr>
            <w:tcW w:w="7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 term (in months)</w:t>
            </w:r>
          </w:p>
        </w:tc>
        <w:tc>
          <w:tcPr>
            <w:tcW w:w="1120" w:type="dxa"/>
            <w:vAlign w:val="bottom"/>
          </w:tcPr>
          <w:p>
            <w:pPr>
              <w:spacing w:after="0"/>
              <w:rPr>
                <w:sz w:val="16"/>
                <w:szCs w:val="16"/>
                <w:color w:val="auto"/>
              </w:rPr>
            </w:pP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296</w:t>
            </w:r>
          </w:p>
        </w:tc>
      </w:tr>
      <w:tr>
        <w:trPr>
          <w:trHeight w:val="21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interest rate</w:t>
            </w:r>
          </w:p>
        </w:tc>
        <w:tc>
          <w:tcPr>
            <w:tcW w:w="1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9.6 %</w:t>
            </w:r>
          </w:p>
        </w:tc>
      </w:tr>
      <w:tr>
        <w:trPr>
          <w:trHeight w:val="195"/>
        </w:trPr>
        <w:tc>
          <w:tcPr>
            <w:tcW w:w="7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Customer FICO score</w:t>
            </w:r>
          </w:p>
        </w:tc>
        <w:tc>
          <w:tcPr>
            <w:tcW w:w="1120" w:type="dxa"/>
            <w:vAlign w:val="bottom"/>
          </w:tcPr>
          <w:p>
            <w:pPr>
              <w:spacing w:after="0"/>
              <w:rPr>
                <w:sz w:val="16"/>
                <w:szCs w:val="16"/>
                <w:color w:val="auto"/>
              </w:rPr>
            </w:pPr>
          </w:p>
        </w:tc>
        <w:tc>
          <w:tcPr>
            <w:tcW w:w="5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748</w:t>
            </w:r>
          </w:p>
        </w:tc>
      </w:tr>
      <w:tr>
        <w:trPr>
          <w:trHeight w:val="210"/>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 balance (in thousands)</w:t>
            </w:r>
          </w:p>
        </w:tc>
        <w:tc>
          <w:tcPr>
            <w:tcW w:w="1120" w:type="dxa"/>
            <w:vAlign w:val="bottom"/>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w:t>
            </w:r>
          </w:p>
        </w:tc>
      </w:tr>
    </w:tbl>
    <w:p>
      <w:pPr>
        <w:spacing w:after="0" w:line="220" w:lineRule="exact"/>
        <w:rPr>
          <w:sz w:val="20"/>
          <w:szCs w:val="20"/>
          <w:color w:val="auto"/>
        </w:rPr>
      </w:pPr>
    </w:p>
    <w:p>
      <w:pPr>
        <w:ind w:left="340" w:right="20" w:hanging="332"/>
        <w:spacing w:after="0" w:line="302" w:lineRule="auto"/>
        <w:tabs>
          <w:tab w:leader="none" w:pos="33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HELOC loans subject to monthly, amortizing borrower payments and may be prepaid and redrawn within a limited period of time. Personal, mortgage, and other loans are not considered significant.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loan counts held by the Company at March 31, 2026 and December 31,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December 31, 2025</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183"/>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Count of loans held for sale:</w:t>
            </w:r>
          </w:p>
        </w:tc>
        <w:tc>
          <w:tcPr>
            <w:tcW w:w="17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8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HELOC loans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w:t>
            </w:r>
          </w:p>
        </w:tc>
        <w:tc>
          <w:tcPr>
            <w:tcW w:w="10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w:t>
            </w:r>
          </w:p>
        </w:tc>
        <w:tc>
          <w:tcPr>
            <w:tcW w:w="0" w:type="dxa"/>
            <w:vAlign w:val="bottom"/>
          </w:tcPr>
          <w:p>
            <w:pPr>
              <w:spacing w:after="0"/>
              <w:rPr>
                <w:sz w:val="1"/>
                <w:szCs w:val="1"/>
                <w:color w:val="auto"/>
              </w:rPr>
            </w:pPr>
          </w:p>
        </w:tc>
      </w:tr>
      <w:tr>
        <w:trPr>
          <w:trHeight w:val="210"/>
        </w:trPr>
        <w:tc>
          <w:tcPr>
            <w:tcW w:w="120" w:type="dxa"/>
            <w:vAlign w:val="bottom"/>
            <w:shd w:val="clear" w:color="auto" w:fill="CCEEFF"/>
          </w:tcPr>
          <w:p>
            <w:pPr>
              <w:spacing w:after="0"/>
              <w:rPr>
                <w:sz w:val="18"/>
                <w:szCs w:val="18"/>
                <w:color w:val="auto"/>
              </w:rPr>
            </w:pPr>
          </w:p>
        </w:tc>
        <w:tc>
          <w:tcPr>
            <w:tcW w:w="8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Personal loans</w:t>
            </w:r>
            <w:r>
              <w:rPr>
                <w:rFonts w:ascii="Times New Roman" w:cs="Times New Roman" w:eastAsia="Times New Roman" w:hAnsi="Times New Roman"/>
                <w:sz w:val="18"/>
                <w:szCs w:val="18"/>
                <w:color w:val="auto"/>
                <w:vertAlign w:val="superscript"/>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0" w:type="dxa"/>
            <w:vAlign w:val="bottom"/>
          </w:tcPr>
          <w:p>
            <w:pPr>
              <w:spacing w:after="0"/>
              <w:rPr>
                <w:sz w:val="1"/>
                <w:szCs w:val="1"/>
                <w:color w:val="auto"/>
              </w:rPr>
            </w:pPr>
          </w:p>
        </w:tc>
      </w:tr>
      <w:tr>
        <w:trPr>
          <w:trHeight w:val="203"/>
        </w:trPr>
        <w:tc>
          <w:tcPr>
            <w:tcW w:w="120" w:type="dxa"/>
            <w:vAlign w:val="bottom"/>
            <w:tcBorders>
              <w:bottom w:val="single" w:sz="8" w:color="CCEEFF"/>
            </w:tcBorders>
          </w:tcPr>
          <w:p>
            <w:pPr>
              <w:spacing w:after="0"/>
              <w:rPr>
                <w:sz w:val="17"/>
                <w:szCs w:val="17"/>
                <w:color w:val="auto"/>
              </w:rPr>
            </w:pPr>
          </w:p>
        </w:tc>
        <w:tc>
          <w:tcPr>
            <w:tcW w:w="666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(2)</w:t>
            </w:r>
          </w:p>
        </w:tc>
        <w:tc>
          <w:tcPr>
            <w:tcW w:w="1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16"/>
        </w:trPr>
        <w:tc>
          <w:tcPr>
            <w:tcW w:w="8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loan count held for sale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6,065</w:t>
            </w:r>
          </w:p>
        </w:tc>
        <w:tc>
          <w:tcPr>
            <w:tcW w:w="1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5,213</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9"/>
                <w:szCs w:val="9"/>
                <w:color w:val="auto"/>
                <w:w w:val="94"/>
              </w:rPr>
              <w:t>(1)</w:t>
            </w:r>
          </w:p>
        </w:tc>
        <w:tc>
          <w:tcPr>
            <w:tcW w:w="66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120" w:type="dxa"/>
            <w:vAlign w:val="bottom"/>
            <w:vMerge w:val="continue"/>
          </w:tcPr>
          <w:p>
            <w:pPr>
              <w:spacing w:after="0"/>
              <w:rPr>
                <w:sz w:val="24"/>
                <w:szCs w:val="24"/>
                <w:color w:val="auto"/>
              </w:rPr>
            </w:pPr>
          </w:p>
        </w:tc>
        <w:tc>
          <w:tcPr>
            <w:tcW w:w="8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Loans collateralized by digital assets.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(2)</w:t>
            </w:r>
          </w:p>
        </w:tc>
        <w:tc>
          <w:tcPr>
            <w:tcW w:w="8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Primarily contains residential transition loans, other mortgage loans, legacy mortgages and other unsecured loans.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8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loan counts as of December 31, 2025 have been corrected.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revenue is primarily derived from ecosystem and technology fees, loan originations and sales, including interest income earned thereon, marketable securities and loan servicing.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Ecosystem and technology fees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Partner-branded channel, we earn volume-based technology and processing fees, based on the principal balance of each loan originated on our LOS and the principal balance of loans transacted on Figure Connect. Such fees arise from contracts entered into with partners to provide access to a cloud-based lending marketplace platform that is developed by us. Our platform enables partners, who are retail and wholesale lenders, to originate loans branded under the partners’ name, by having access to a suite of services such as submission of loan applications, verifying information provided within submitted applications, risk underwriting, delivery of electronic loan offers, and electronic loan documentation signed by the borrower.</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earn a fee for arranging and facilitating the securitization of HELOCs based on the outstanding principal balance of the transferred HELOCs, which is fully earned on the securitization closing date. Program fees are paid by the trust as the fees are earned and paid upon closing.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Origination fees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Origination fees consist of the fees that we earn from originating loans upon the customer’s initial loan draw. Origination fees include loan origination fees and other fees collected from the customer at the time a loan is funded. Origination fees are currently calculated as a percentage of the customer’s initial loan balance and are recognized as revenue at a specified point in time, once a customer’s loan application has been approved, a credit decision has been reached, and the loan has been funded and processed. These fees are earned through both our Figure-branded channel as well as our Partner-branded channel through wholesale brokers.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fees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Servicing fees and other revenue consist of the fees that we earn from managing loan portfolios on behalf of the owners of those portfolios. Servicing fees are calculated based on a contractual percentage of the outstanding principal under servicing arrangements and are charged monthly pursuant to our servicing agreements for activities we perform throughout the loan term, including collection, processing and reconciliations of payments received, investor reporting, and customer support. We act as servicer for the majority of the loans facilitated through our platform.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loans, net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Gain on sale of loans consists of the net proceeds from the difference between the proceeds received at the sale of loans to third-party buyers, and the unpaid principal balance of such loans, including adjustments for changes in fair value for loans sold during the period. These realized and unrealized gains or losses and fair value adjustments are recognized through both our Figure-branded and Partner-branded channels based on the fair value of the loan originated by us, or purchased from partners, generally represented by the consideration paid relative to the loans’ estimated fair value at each quarter end or consideration received upon sale.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elected the fair value option for both the Figure-branded loans we originate as well as the Partner-branded loans we purchase from our partners that we hold for sale. Loans held for sale consist of loans we intend to sell, including HELOCs, personal loan products, and mortgage loans we previously originated or purchased. HELOCs and mortgage loans are secured by first or junior liens on customers’ real property. Any changes in fair value relating to loans held for sale are included in our results of operations as net fair value adjustments.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earn interest income primarily from the following sources:</w:t>
      </w:r>
    </w:p>
    <w:p>
      <w:pPr>
        <w:spacing w:after="0" w:line="171" w:lineRule="exact"/>
        <w:rPr>
          <w:sz w:val="20"/>
          <w:szCs w:val="20"/>
          <w:color w:val="auto"/>
        </w:rPr>
      </w:pPr>
    </w:p>
    <w:p>
      <w:pPr>
        <w:jc w:val="both"/>
        <w:ind w:left="66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xml:space="preserve"> — We accrue interest income on loans we hold based on the UPB outstanding at contractual interest rates. We place loans on nonaccrual status when they become 90 days past due (30 days past due for collateralized personal loans) or when we doubt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w:t>
      </w:r>
    </w:p>
    <w:p>
      <w:pPr>
        <w:spacing w:after="0" w:line="36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interest receivable. Interest income is subsequently recognized only to the extent cash payments are received or when the loan has been placed back in accrual status. Loans are restored to accrual status when the loan becomes current and we expect repayment of the remaining contractual principal and interest. We also recognize cash received on non-accrual loans as interest income after all contractual principal is repaid.</w:t>
      </w:r>
    </w:p>
    <w:p>
      <w:pPr>
        <w:spacing w:after="0" w:line="122" w:lineRule="exact"/>
        <w:rPr>
          <w:sz w:val="20"/>
          <w:szCs w:val="20"/>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xml:space="preserve"> — We accrue interest income monthly for cash held at depository institutions and investments in short-term instruments, such as money-market funds and U.S. Treasury Bills, and through repurchase agreements that are collateralized by U.S. Treasury Bills.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servicing asset, net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routinely sell HELOCs, and in the past we have also sold personal loans, mortgage loans and Figure Pay credit loans, with servicing rights retained. Figure Pay credit loans are short duration, installment loans that consumers can use at their discretion. Loan servicing activities include account maintenance, collections, processing payments from customers, and distributions to third-party loan owners. During each reporting period, a servicing asset is recognized when the benefits of servicing are determined to be greater than adequate compensation for the servicing activities that we perform, and conversely, a servicing liability is recognized if the benefits of servicing are determined to be less than adequate compensation for the servicing activities that we perform. We carry servicing assets at fair value. Any changes in the fair value are included in our results of operations as net fair value adjustments. These gains are recognized through both our Figure-branded and Partner-branded channels.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 income, net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recognize interest income on the debt securities we hold where we expect to collect all contractual cash flows, and the debt security cannot be contractually prepaid in such a way that we would not recover substantially all of our recorded investment, based on the stated coupon rate and the outstanding principal amount of the debt security. We recognize interest income on beneficial interests based on the investment’s accretable yield, which represents the difference between the expected undiscounted cash flows and the carrying value of the investment. We recognize the accretable yield as interest income on a prospective level yield basis over the life of the expected cash flows. Changes in the amount or timing of actual or expected cash flows may change the accretable yield, and we adjust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 We carry marketable securities at fair value. Any changes in the fair value are included in our results of operations as net fair value adjustments.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 primarily consists of gains (losses) on the Company’s investments in certain entities and fees earned on marketing services provided for partners.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consist of general and administrative, technology and product development, operations and processing, sales and marketing, and interest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primarily consist of payroll and other personnel-related costs, including stock-based compensation, for legal and compliance, finance and accounting, human resources and facilities teams; professional services fees; facilities and travel expenses.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product development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Technology and product development expenses primarily consist of payroll and other personnel-related costs, including stock-based compensation, for our product, engineering, and design team, which is responsible for maintenance, bug fixes and software updates among others, as well as the costs of systems and tools used by these personnel.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processing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Operations and processing expenses primarily consist of payroll and other personnel-related costs, including stock-based compensation for personnel engaged in onboarding, loan servicing, customer support and other related operational teams.</w:t>
      </w:r>
    </w:p>
    <w:p>
      <w:pPr>
        <w:spacing w:after="0" w:line="3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These expenses also include the costs of third-party systems and tools we use as part of the loan origination process, including information verification, fraud detection, and payment processing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primarily consist of costs incurred across various advertising channels, including expenses associated with advertising campaigns, and building overall brand awareness. Sales and marketing expenses also include payroll and other personnel-related costs, including stock-based compensation expense, for our sales and marketing personnel.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consists of the costs we incur on our borrowings, amortization of fees, and other costs associated with our debt obligations. It also includes interest accrued and paid to holders of YLDS in the form of additional YLDS, in addition to interest accrued and paid to Democratized Prime lenders.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contractual agreements with loan buyers to repurchase loans under certain circumstances, including in the event of borrower delinquencies within the first 30 to 90 days of loan origination. We record a loss on those loans based on the fair value at the date on which we identify the repurchase obligation.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 net includes unrealized and realized gains (losses) resulting from transactions of certain digital assets, litigation settlements, adjustments to non-equity method investments, foreign exchange rate gains (losses) and other non-income based state and local taxes.</w:t>
      </w:r>
    </w:p>
    <w:p>
      <w:pPr>
        <w:spacing w:after="0" w:line="3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revenue:</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47,306</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15,613</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203.0 %</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Servicing fees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03"/>
        </w:trPr>
        <w:tc>
          <w:tcPr>
            <w:tcW w:w="634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Interest income</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Origination fees</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203"/>
        </w:trPr>
        <w:tc>
          <w:tcPr>
            <w:tcW w:w="634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Gain on sale of loans, net</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Gain on servicing asset, net</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3846.9</w:t>
            </w:r>
          </w:p>
        </w:tc>
        <w:tc>
          <w:tcPr>
            <w:tcW w:w="0" w:type="dxa"/>
            <w:vAlign w:val="bottom"/>
          </w:tcPr>
          <w:p>
            <w:pPr>
              <w:spacing w:after="0"/>
              <w:rPr>
                <w:sz w:val="1"/>
                <w:szCs w:val="1"/>
                <w:color w:val="auto"/>
              </w:rPr>
            </w:pPr>
          </w:p>
        </w:tc>
      </w:tr>
      <w:tr>
        <w:trPr>
          <w:trHeight w:val="203"/>
        </w:trPr>
        <w:tc>
          <w:tcPr>
            <w:tcW w:w="634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Marketable securities income, net</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revenue</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442.7</w:t>
            </w:r>
          </w:p>
        </w:tc>
        <w:tc>
          <w:tcPr>
            <w:tcW w:w="0" w:type="dxa"/>
            <w:vAlign w:val="bottom"/>
          </w:tcPr>
          <w:p>
            <w:pPr>
              <w:spacing w:after="0"/>
              <w:rPr>
                <w:sz w:val="1"/>
                <w:szCs w:val="1"/>
                <w:color w:val="auto"/>
              </w:rPr>
            </w:pPr>
          </w:p>
        </w:tc>
      </w:tr>
      <w:tr>
        <w:trPr>
          <w:trHeight w:val="189"/>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net revenue</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167,007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84,510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82,497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97.6</w:t>
            </w: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142.0</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Technology and product development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5"/>
        </w:trPr>
        <w:tc>
          <w:tcPr>
            <w:tcW w:w="6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Operations and processing</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69.2</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70.3</w:t>
            </w:r>
          </w:p>
        </w:tc>
        <w:tc>
          <w:tcPr>
            <w:tcW w:w="0" w:type="dxa"/>
            <w:vAlign w:val="bottom"/>
          </w:tcPr>
          <w:p>
            <w:pPr>
              <w:spacing w:after="0"/>
              <w:rPr>
                <w:sz w:val="1"/>
                <w:szCs w:val="1"/>
                <w:color w:val="auto"/>
              </w:rPr>
            </w:pPr>
          </w:p>
        </w:tc>
      </w:tr>
      <w:tr>
        <w:trPr>
          <w:trHeight w:val="195"/>
        </w:trPr>
        <w:tc>
          <w:tcPr>
            <w:tcW w:w="63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53.9</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89"/>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expenses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125,066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76,438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48,628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63.6</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33,869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419.6</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(7,455)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38,102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6075.4</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(benefit) provision</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(6,945)</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45,047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45,660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 in consolidated subsidiaries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68"/>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22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Figure Technology Solutions, Inc.</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jc w:val="both"/>
        <w:ind w:firstLine="8"/>
        <w:spacing w:after="0" w:line="358" w:lineRule="auto"/>
        <w:tabs>
          <w:tab w:leader="none" w:pos="191"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During the current period, we voluntarily elected to change the income statement presentation for net gains and losses on the change in fair value of marketable securities, and the interest income earned on marketable securities, by reclassifying them into a separate line item, “Marketable securities income, net”. Previously, these amounts were included within “Gain on sale of loans, net” and “Interest income”, respectively. The change in classification has been applied retrospectively to all periods presented. This presentation change resulted in a $2.2 million decrease to “Gain on sale of loans, net” and a $5.4 million decrease to “Interest income” for the three months ended March 31, 2026. For further information, see Note 2, Change in Financial Statement Presentation, to the Condensed Consolidated Financial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Ecosystem and technology fees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Technology offering fees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119.1 %</w:t>
            </w:r>
          </w:p>
        </w:tc>
        <w:tc>
          <w:tcPr>
            <w:tcW w:w="0" w:type="dxa"/>
            <w:vAlign w:val="bottom"/>
          </w:tcPr>
          <w:p>
            <w:pPr>
              <w:spacing w:after="0"/>
              <w:rPr>
                <w:sz w:val="1"/>
                <w:szCs w:val="1"/>
                <w:color w:val="auto"/>
              </w:rPr>
            </w:pP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Ecosystem fees</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368.5</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 fees</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123.1</w:t>
            </w:r>
          </w:p>
        </w:tc>
        <w:tc>
          <w:tcPr>
            <w:tcW w:w="0" w:type="dxa"/>
            <w:vAlign w:val="bottom"/>
          </w:tcPr>
          <w:p>
            <w:pPr>
              <w:spacing w:after="0"/>
              <w:rPr>
                <w:sz w:val="1"/>
                <w:szCs w:val="1"/>
                <w:color w:val="auto"/>
              </w:rPr>
            </w:pPr>
          </w:p>
        </w:tc>
      </w:tr>
      <w:tr>
        <w:trPr>
          <w:trHeight w:val="203"/>
        </w:trPr>
        <w:tc>
          <w:tcPr>
            <w:tcW w:w="6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ecosystem and technology fees</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47,306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31,693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203.0 %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Ecosystem and technology fees increased $31.7 million, or 203.0%, primarily due to the 237.3% growth in Figure Connect Volume, as well as a $3.1 million increase in program fees due to a $941.8 million increase in the volume of securitizations for which we earn program fees. Our ecosystem fees are based on a sliding scale that decreases as higher volume tiers are reached, resulting in lower fee rates as an individual partners origination volume increases.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Servicing fees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Servicing fees increased $2.6 million, or 36.6%, due to a $6.1 billion, or 72.0%, increase in the weighted-average servicing portfolio unpaid principal HELOC loan balance of $14.6 billion serviced at March 31, 2026, compared to $8.5 billion at</w:t>
      </w:r>
    </w:p>
    <w:p>
      <w:pPr>
        <w:spacing w:after="0" w:line="3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6" w:name="page47"/>
    <w:bookmarkEnd w:id="46"/>
    <w:p>
      <w:pPr>
        <w:ind w:right="820"/>
        <w:spacing w:after="0" w:line="438" w:lineRule="auto"/>
        <w:rPr>
          <w:sz w:val="20"/>
          <w:szCs w:val="20"/>
          <w:color w:val="auto"/>
        </w:rPr>
      </w:pPr>
      <w:r>
        <w:rPr>
          <w:rFonts w:ascii="Times New Roman" w:cs="Times New Roman" w:eastAsia="Times New Roman" w:hAnsi="Times New Roman"/>
          <w:sz w:val="18"/>
          <w:szCs w:val="18"/>
          <w:color w:val="auto"/>
        </w:rPr>
        <w:t xml:space="preserve">March 31, 2025, partially offset by a decrease of 5 basis points in the weighted average servicing fee rate from 33 basis points to 28 basis points. </w:t>
      </w:r>
      <w:r>
        <w:rPr>
          <w:rFonts w:ascii="Times New Roman" w:cs="Times New Roman" w:eastAsia="Times New Roman" w:hAnsi="Times New Roman"/>
          <w:sz w:val="18"/>
          <w:szCs w:val="18"/>
          <w:u w:val="single" w:color="auto"/>
          <w:color w:val="auto"/>
        </w:rPr>
        <w:t>Interest income</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increased $8.2 million, or 72.6%, primarily due to a $5.9 million increase in interest earned on cash balances, as well as a $2.2 million increase in interest earned on HELOCs.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Origination fees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origination fees increased $10.7 million, or 85.4%, primarily due to a 45.5% increase in overall volume of transactions for which we earn origination fees, as well as higher weighted average origination fees driven by a change in mix from Figure-branded volume growing 99.0% year over year, for which we earn higher origination fees relative to Partner-branded volume.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sale of loans,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 (loss):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Whole loan sales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43,442</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18,182</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138.9 %</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Securitized loans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96.7</w:t>
            </w:r>
          </w:p>
        </w:tc>
        <w:tc>
          <w:tcPr>
            <w:tcW w:w="0" w:type="dxa"/>
            <w:vAlign w:val="bottom"/>
          </w:tcPr>
          <w:p>
            <w:pPr>
              <w:spacing w:after="0"/>
              <w:rPr>
                <w:sz w:val="1"/>
                <w:szCs w:val="1"/>
                <w:color w:val="auto"/>
              </w:rPr>
            </w:pPr>
          </w:p>
        </w:tc>
      </w:tr>
      <w:tr>
        <w:trPr>
          <w:trHeight w:val="183"/>
        </w:trPr>
        <w:tc>
          <w:tcPr>
            <w:tcW w:w="6340" w:type="dxa"/>
            <w:vAlign w:val="bottom"/>
          </w:tcPr>
          <w:p>
            <w:pPr>
              <w:ind w:left="20"/>
              <w:spacing w:after="0" w:line="182" w:lineRule="exact"/>
              <w:rPr>
                <w:sz w:val="20"/>
                <w:szCs w:val="20"/>
                <w:color w:val="auto"/>
              </w:rPr>
            </w:pPr>
            <w:r>
              <w:rPr>
                <w:rFonts w:ascii="Times New Roman" w:cs="Times New Roman" w:eastAsia="Times New Roman" w:hAnsi="Times New Roman"/>
                <w:sz w:val="14"/>
                <w:szCs w:val="14"/>
                <w:color w:val="auto"/>
              </w:rPr>
              <w:t>Unrealized gain (loss):</w:t>
            </w:r>
            <w:r>
              <w:rPr>
                <w:rFonts w:ascii="Times New Roman" w:cs="Times New Roman" w:eastAsia="Times New Roman" w:hAnsi="Times New Roman"/>
                <w:sz w:val="18"/>
                <w:szCs w:val="18"/>
                <w:color w:val="auto"/>
                <w:vertAlign w:val="superscript"/>
              </w:rPr>
              <w:t>(A)</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w:t>
            </w: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Derivatives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gain on sale of loans, net</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49,356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29,792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65.7 %</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both"/>
        <w:ind w:firstLine="8"/>
        <w:spacing w:after="0" w:line="261" w:lineRule="auto"/>
        <w:tabs>
          <w:tab w:leader="none" w:pos="191" w:val="left"/>
        </w:tabs>
        <w:numPr>
          <w:ilvl w:val="0"/>
          <w:numId w:val="4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During the current period, we voluntarily elected to change the income statement presentation for the net change in fair value of marketable securities by reclassifying them into a separate line item, “Marketable securities income, net”. The change in classification has been applied retrospectively to all periods presented. This presentation change resulted in a $2.2 million decrease to “Gain on sale of loans, net” as of March 31, 2025. For further information, see Note 2, Change in Financial Statement Presentation, to the Condensed Consolidated Financial Statements.</w:t>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Gain on sale of loans inclusive of derivatives increased $19.6 million, or 65.7%, due to a $19.2 million increase in the total realized gains on loans as a result of an increase in the UPB of loans sold from $786.7 million to $1.8 billion, in addition to a 14.9% increase in the weighted average price of loans sold for the three months ended March 31, 2026 compared to the three months ended March 31, 2025. The decrease in unrealized gains were primarily due to a $8.3 million decrease in the fair value of loans not yet sold driven by an increasing rate environment during the three months ended March 31, 2026 compared to the three months ended March 31, 2025. Due to changes in rates impacting our derivatives, we recognized realized gains on derivatives of $1.6 million and unrealized gains of $2.3 million for the three months ended March 31, 2026,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servicing asset, net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98.2 %</w:t>
            </w:r>
          </w:p>
        </w:tc>
        <w:tc>
          <w:tcPr>
            <w:tcW w:w="0" w:type="dxa"/>
            <w:vAlign w:val="bottom"/>
          </w:tcPr>
          <w:p>
            <w:pPr>
              <w:spacing w:after="0"/>
              <w:rPr>
                <w:sz w:val="1"/>
                <w:szCs w:val="1"/>
                <w:color w:val="auto"/>
              </w:rPr>
            </w:pPr>
          </w:p>
        </w:tc>
      </w:tr>
      <w:tr>
        <w:trPr>
          <w:trHeight w:val="19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Realization of cash flows</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inputs and assumptions</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gain on servicing asset, net</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12,867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3846.9 %</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Gain on servicing asset, net increased $12.5 million, or 3846.9%, primarily due to a $10.1 million increase in new servicing assets retained on the increase of UPB of loans sold from $786.7 million to $1.8 billion for the three months ended March 31, 2026 compared to the three months ended March 31, 2025, as well as a $5.9 million increase resulting from changes in valuation inputs and assumptions, driven by an increasing rate environment in the current period compared to the prior period. Partially offsetting, there was a $3.4 million change due to the realization of cash flows derived from a larger servicing portfolio during the three months ended March 31, 2026 compared to the three months ended March 31, 2025.</w:t>
      </w:r>
    </w:p>
    <w:p>
      <w:pPr>
        <w:spacing w:after="0" w:line="35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47</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Marketable securities income, net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securities income, net decreased $4.0 million, or 51.9%, primarily due to a loss on the change in fair value of $2.5 million for the three months ended March 31, 2026, compared to a gain on the change in fair value of $2.2 million for the three months ended March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revenue</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revenue is immaterial overall and components of other revenue did not materially change as fees, and the net assets on which we charge those fees, were consistent during the three months ended March 31, 2026 and 2025. The growth in other revenue is representative of the overall growth in Figure.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Figure-branded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112.3 %</w:t>
            </w:r>
          </w:p>
        </w:tc>
        <w:tc>
          <w:tcPr>
            <w:tcW w:w="0" w:type="dxa"/>
            <w:vAlign w:val="bottom"/>
          </w:tcPr>
          <w:p>
            <w:pPr>
              <w:spacing w:after="0"/>
              <w:rPr>
                <w:sz w:val="1"/>
                <w:szCs w:val="1"/>
                <w:color w:val="auto"/>
              </w:rPr>
            </w:pP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Origination fees</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93.5</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95.0</w:t>
            </w:r>
          </w:p>
        </w:tc>
        <w:tc>
          <w:tcPr>
            <w:tcW w:w="0" w:type="dxa"/>
            <w:vAlign w:val="bottom"/>
          </w:tcPr>
          <w:p>
            <w:pPr>
              <w:spacing w:after="0"/>
              <w:rPr>
                <w:sz w:val="1"/>
                <w:szCs w:val="1"/>
                <w:color w:val="auto"/>
              </w:rPr>
            </w:pPr>
          </w:p>
        </w:tc>
      </w:tr>
      <w:tr>
        <w:trPr>
          <w:trHeight w:val="203"/>
        </w:trPr>
        <w:tc>
          <w:tcPr>
            <w:tcW w:w="6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Figure-branded net revenue</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41,656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21,389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94.8 %</w:t>
            </w:r>
          </w:p>
        </w:tc>
        <w:tc>
          <w:tcPr>
            <w:tcW w:w="0" w:type="dxa"/>
            <w:vAlign w:val="bottom"/>
          </w:tcPr>
          <w:p>
            <w:pPr>
              <w:spacing w:after="0"/>
              <w:rPr>
                <w:sz w:val="1"/>
                <w:szCs w:val="1"/>
                <w:color w:val="auto"/>
              </w:rPr>
            </w:pPr>
          </w:p>
        </w:tc>
      </w:tr>
      <w:tr>
        <w:trPr>
          <w:trHeight w:val="21"/>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Figure-branded net revenue increased $20.3 million, or 94.8%, during the three months ended March 31, 2026, compared to the three months ended March 31, 2025. This was primarily due to a $10.0 million, or 93.5%, increase in Figure-branded origination fees as a result of a 99.0% increase in Figure-branded volume. Additionally, gain on sale of loans, net, increased $9.6 million, or 95.0%, as a result of an increase in the UPB of loans sold.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Partner-branded revenue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Ecosystem and technology fees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206.5 %</w:t>
            </w:r>
          </w:p>
        </w:tc>
        <w:tc>
          <w:tcPr>
            <w:tcW w:w="0" w:type="dxa"/>
            <w:vAlign w:val="bottom"/>
          </w:tcPr>
          <w:p>
            <w:pPr>
              <w:spacing w:after="0"/>
              <w:rPr>
                <w:sz w:val="1"/>
                <w:szCs w:val="1"/>
                <w:color w:val="auto"/>
              </w:rPr>
            </w:pPr>
          </w:p>
        </w:tc>
      </w:tr>
      <w:tr>
        <w:trPr>
          <w:trHeight w:val="195"/>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Origination fees</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19,663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50.5</w:t>
            </w:r>
          </w:p>
        </w:tc>
        <w:tc>
          <w:tcPr>
            <w:tcW w:w="0" w:type="dxa"/>
            <w:vAlign w:val="bottom"/>
          </w:tcPr>
          <w:p>
            <w:pPr>
              <w:spacing w:after="0"/>
              <w:rPr>
                <w:sz w:val="1"/>
                <w:szCs w:val="1"/>
                <w:color w:val="auto"/>
              </w:rPr>
            </w:pPr>
          </w:p>
        </w:tc>
      </w:tr>
      <w:tr>
        <w:trPr>
          <w:trHeight w:val="203"/>
        </w:trPr>
        <w:tc>
          <w:tcPr>
            <w:tcW w:w="6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Partner-branded net revenue</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78,136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36,493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114.1 %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Partner-branded net revenue increased $41.6 million, or 114.1%, during the three months ended March 31, 2026, compared to the three months ended March 31, 2025. The increase was primarily attributable to ecosystem and technology fees, which increased by $31.0 million, or 206.5%, during the three months ended March 31, 2026, compared to the three months ended March 31, 2025. This was primarily due to a $32.1 million increase in revenue recognized from an increase in volume transacted on our Connect platform, for which minimal fees were earned in the prior year. Additionally, Partner-branded gain on sale of loans, net increased by $9.9 million, or 50.5%, during the three months ended March 31, 2026, compared to the three months ended March 31, 2025, as a result of a 117% increase in Partner-branded volume, offset by a transition towards ecosystem and technology fee revenue as Partners transition to Connect.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 and administrative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24.2 %</w:t>
            </w:r>
          </w:p>
        </w:tc>
        <w:tc>
          <w:tcPr>
            <w:tcW w:w="0" w:type="dxa"/>
            <w:vAlign w:val="bottom"/>
          </w:tcPr>
          <w:p>
            <w:pPr>
              <w:spacing w:after="0"/>
              <w:rPr>
                <w:sz w:val="1"/>
                <w:szCs w:val="1"/>
                <w:color w:val="auto"/>
              </w:rPr>
            </w:pPr>
          </w:p>
        </w:tc>
      </w:tr>
      <w:tr>
        <w:trPr>
          <w:trHeight w:val="19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expense</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1262.4</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228"/>
        </w:trPr>
        <w:tc>
          <w:tcPr>
            <w:tcW w:w="6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general and administrative expense</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45,595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18,840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142.0 %</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$26.8 million, or 142.0%. This primarily consisted of an increase in equity-based compensation expense of $21.8 million, due to the recognition of expense for stock-based compensation awards that satisfied the liquidity condition in connection with the IPO, additional grants associated with the IPO, and an increase in</w:t>
      </w:r>
    </w:p>
    <w:p>
      <w:pPr>
        <w:spacing w:after="0" w:line="36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8" w:name="page49"/>
    <w:bookmarkEnd w:id="48"/>
    <w:p>
      <w:pPr>
        <w:jc w:val="both"/>
        <w:spacing w:after="0" w:line="282" w:lineRule="auto"/>
        <w:rPr>
          <w:sz w:val="20"/>
          <w:szCs w:val="20"/>
          <w:color w:val="auto"/>
        </w:rPr>
      </w:pPr>
      <w:r>
        <w:rPr>
          <w:rFonts w:ascii="Times New Roman" w:cs="Times New Roman" w:eastAsia="Times New Roman" w:hAnsi="Times New Roman"/>
          <w:sz w:val="18"/>
          <w:szCs w:val="18"/>
          <w:color w:val="auto"/>
        </w:rPr>
        <w:t>grants in the current year due to increased headcount. Professional services increased $2.2 million, or 37.1%, primarily due to an increase in legal and accounting fees.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Technology and product development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195"/>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expense</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5"/>
        </w:trPr>
        <w:tc>
          <w:tcPr>
            <w:tcW w:w="6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Software</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20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179.7</w:t>
            </w:r>
          </w:p>
        </w:tc>
        <w:tc>
          <w:tcPr>
            <w:tcW w:w="0" w:type="dxa"/>
            <w:vAlign w:val="bottom"/>
          </w:tcPr>
          <w:p>
            <w:pPr>
              <w:spacing w:after="0"/>
              <w:rPr>
                <w:sz w:val="1"/>
                <w:szCs w:val="1"/>
                <w:color w:val="auto"/>
              </w:rPr>
            </w:pPr>
          </w:p>
        </w:tc>
      </w:tr>
      <w:tr>
        <w:trPr>
          <w:trHeight w:val="203"/>
        </w:trPr>
        <w:tc>
          <w:tcPr>
            <w:tcW w:w="6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technology and product development expense</w:t>
            </w: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15,605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17,416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Technology and product development expense decreased $1.8 million, or 10.4%, primarily due to a $1.8 million, or 24.6%, decrease in compensation and benefits, primarily due to a 3.7% decrease in headcount. Additionally, there was a $1.6 million decrease in equity-based compensation expense primarily due to expense related to services exchanged for issuance of warrants in the prior year which were fully earned in the prior year and therefore had no expense in the three months ended March 31, 2026.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Operations and processing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59.7 %</w:t>
            </w:r>
          </w:p>
        </w:tc>
        <w:tc>
          <w:tcPr>
            <w:tcW w:w="0" w:type="dxa"/>
            <w:vAlign w:val="bottom"/>
          </w:tcPr>
          <w:p>
            <w:pPr>
              <w:spacing w:after="0"/>
              <w:rPr>
                <w:sz w:val="1"/>
                <w:szCs w:val="1"/>
                <w:color w:val="auto"/>
              </w:rPr>
            </w:pPr>
          </w:p>
        </w:tc>
      </w:tr>
      <w:tr>
        <w:trPr>
          <w:trHeight w:val="19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expense</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Processing fees</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13,440</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203"/>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operations and processing expense</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12,678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69.2 %</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and processing expense increased $8.8 million, or 69.2%, primarily due to a $5.8 million increase in processing fees due to a 112.6% increase in Consumer Loan Marketplace Volume. Additionally, compensation and benefits increased $2.9 million, or 59.7%, primarily due to a 54.6% increase in headcount.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Sales and marketing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91.9 %</w:t>
            </w:r>
          </w:p>
        </w:tc>
        <w:tc>
          <w:tcPr>
            <w:tcW w:w="0" w:type="dxa"/>
            <w:vAlign w:val="bottom"/>
          </w:tcPr>
          <w:p>
            <w:pPr>
              <w:spacing w:after="0"/>
              <w:rPr>
                <w:sz w:val="1"/>
                <w:szCs w:val="1"/>
                <w:color w:val="auto"/>
              </w:rPr>
            </w:pPr>
          </w:p>
        </w:tc>
      </w:tr>
      <w:tr>
        <w:trPr>
          <w:trHeight w:val="19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expense</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420.3</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Advertising and other expense</w:t>
            </w:r>
          </w:p>
        </w:tc>
        <w:tc>
          <w:tcPr>
            <w:tcW w:w="2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203"/>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sales and marketing expense</w:t>
            </w: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25,483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10,516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70.3 %</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marketing expense increased $10.5 million, or 70.3%, primarily due to an $8.6 million increase in advertising and other costs driven by a 99.0% increase in Figure-branded volume, as well as a $1.6 million increase in compensation and benefits primarily due to a 59.4% increase in headcount.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$5.9 million, or 53.9%, primarily due to a $2.5 million, or 35.8%, increase related to the impact of higher average SOFR rates on warehouse facilities, a $1.7 million, or 73.7%, increase in interest expense related to the Retained Interest Facility warehouse, and a $1.6 million increase in interest related to YLDS holdings.</w:t>
      </w:r>
    </w:p>
    <w:p>
      <w:pPr>
        <w:spacing w:after="0" w:line="36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6"/>
                <w:szCs w:val="16"/>
                <w:color w:val="auto"/>
              </w:rPr>
            </w:pPr>
          </w:p>
        </w:tc>
        <w:tc>
          <w:tcPr>
            <w:tcW w:w="11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digital assets held</w:t>
            </w: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rPr>
              <w:t>(8,448)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(51.1)%</w:t>
            </w:r>
          </w:p>
        </w:tc>
        <w:tc>
          <w:tcPr>
            <w:tcW w:w="0" w:type="dxa"/>
            <w:vAlign w:val="bottom"/>
          </w:tcPr>
          <w:p>
            <w:pPr>
              <w:spacing w:after="0"/>
              <w:rPr>
                <w:sz w:val="1"/>
                <w:szCs w:val="1"/>
                <w:color w:val="auto"/>
              </w:rPr>
            </w:pPr>
          </w:p>
        </w:tc>
      </w:tr>
      <w:tr>
        <w:trPr>
          <w:trHeight w:val="195"/>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value of fund investment</w:t>
            </w:r>
          </w:p>
        </w:tc>
        <w:tc>
          <w:tcPr>
            <w:tcW w:w="2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center"/>
              <w:ind w:left="448"/>
              <w:spacing w:after="0"/>
              <w:rPr>
                <w:sz w:val="20"/>
                <w:szCs w:val="20"/>
                <w:color w:val="auto"/>
              </w:rPr>
            </w:pPr>
            <w:r>
              <w:rPr>
                <w:rFonts w:ascii="Times New Roman" w:cs="Times New Roman" w:eastAsia="Times New Roman" w:hAnsi="Times New Roman"/>
                <w:sz w:val="14"/>
                <w:szCs w:val="14"/>
                <w:color w:val="auto"/>
              </w:rPr>
              <w:t>(2,061)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Staking rewards and realized gains</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rPr>
              <w:t>1,953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color w:val="auto"/>
              </w:rPr>
              <w:t>1,101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228"/>
        </w:trPr>
        <w:tc>
          <w:tcPr>
            <w:tcW w:w="6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rPr>
              <w:t>(7,455)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increased $3.6 million, primarily driven by a $4.3 million increase in the change in fair value of digital assets held and $1.4 million decrease in the change in value of fund investments, partially offset by a $1.4 million decrease in staking rewards and gain on sale and usage of digital assets, during the three months ended March 31, 2026 compared to the three months ended March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 expense decreased by $8.2 million for the three months ended March 31, 2026 compared to the three months ended March 31, 2025. The provision for income taxes includes U.S. federal, state and local taxes. The effective tax rate for the three months ended March 31, 2026 was approximately (18.2)%, compared to 199.4% for the three months ended March 31, 2025. The effective tax rate differed from the U.S. federal statutory rate of 21.0% for the three months ended March 31, 2026 primarily due to a discrete benefit arising from excess windfall benefit due to stock exercises during the quarter. The effective tax rate differed from the U.S. federal statutory rate for the three months ended March 31, 2025 of 21.0% primarily due to state tax expense attributable to FT Intermediate, Inc. filed on standalone basis, while Figure Markets Holdings, Inc. losses were not realizable prior to the Recombination. Refer to Note 13 in the Condensed Consolidated Financial Statements for further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 in Consolidated Subsidiaries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Third-party investors hold interests in entities that we consolidate, and to whom we allocate the net income or loss of those entities. During the three months ended March 31, 2026 and 2025, we allocated aggregate net income or loss to those third-party investors.</w:t>
      </w:r>
    </w:p>
    <w:p>
      <w:pPr>
        <w:spacing w:after="0" w:line="33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Changes in Financial Position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sets forth a summary of selected line items from our Condensed Consolidated Balance Sheets for the periods indicated, and the changes between such periods. These selected line items have been prepared on the same basis as our Condensed Consolidated Financial Statements. In the opinion of management, the financial information set forth in the table below reflects all normal recurring adjustments necessary for the fair statement of changes in the selected line items for these periods. The following selected line items should be read together with our Condensed Consolidated Financial Statements and related notes.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24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47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95"/>
        </w:trPr>
        <w:tc>
          <w:tcPr>
            <w:tcW w:w="4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0"/>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1,464,643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1,198,141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266,502</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22.2 %</w:t>
            </w:r>
          </w:p>
        </w:tc>
      </w:tr>
      <w:tr>
        <w:trPr>
          <w:trHeight w:val="195"/>
        </w:trPr>
        <w:tc>
          <w:tcPr>
            <w:tcW w:w="4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Restricted cash</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3,310</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w:t>
            </w:r>
          </w:p>
        </w:tc>
      </w:tr>
      <w:tr>
        <w:trPr>
          <w:trHeight w:val="210"/>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Loans held for sale, at fair value</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404,337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99,563</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24.6</w:t>
            </w:r>
          </w:p>
        </w:tc>
      </w:tr>
      <w:tr>
        <w:trPr>
          <w:trHeight w:val="195"/>
        </w:trPr>
        <w:tc>
          <w:tcPr>
            <w:tcW w:w="4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Digital assets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(22,245)</w:t>
            </w:r>
          </w:p>
        </w:tc>
        <w:tc>
          <w:tcPr>
            <w:tcW w:w="8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(23.0)</w:t>
            </w:r>
          </w:p>
        </w:tc>
      </w:tr>
      <w:tr>
        <w:trPr>
          <w:trHeight w:val="210"/>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25.6</w:t>
            </w:r>
          </w:p>
        </w:tc>
      </w:tr>
      <w:tr>
        <w:trPr>
          <w:trHeight w:val="195"/>
        </w:trPr>
        <w:tc>
          <w:tcPr>
            <w:tcW w:w="4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Loan servicing asset, at fair value</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12,867</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11.4</w:t>
            </w:r>
          </w:p>
        </w:tc>
      </w:tr>
      <w:tr>
        <w:trPr>
          <w:trHeight w:val="210"/>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Marketable securities, at fair value</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25,277</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w:t>
            </w:r>
          </w:p>
        </w:tc>
      </w:tr>
      <w:tr>
        <w:trPr>
          <w:trHeight w:val="195"/>
        </w:trPr>
        <w:tc>
          <w:tcPr>
            <w:tcW w:w="4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Digital assets, non-current</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(46.0)</w:t>
            </w:r>
          </w:p>
        </w:tc>
      </w:tr>
      <w:tr>
        <w:trPr>
          <w:trHeight w:val="210"/>
        </w:trPr>
        <w:tc>
          <w:tcPr>
            <w:tcW w:w="4780" w:type="dxa"/>
            <w:vAlign w:val="bottom"/>
            <w:shd w:val="clear" w:color="auto" w:fill="CCEEFF"/>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96"/>
        </w:trPr>
        <w:tc>
          <w:tcPr>
            <w:tcW w:w="47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9"/>
        </w:trPr>
        <w:tc>
          <w:tcPr>
            <w:tcW w:w="4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95"/>
        </w:trPr>
        <w:tc>
          <w:tcPr>
            <w:tcW w:w="4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Payables to third-party loan owners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67,621</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17.6</w:t>
            </w:r>
          </w:p>
        </w:tc>
      </w:tr>
      <w:tr>
        <w:trPr>
          <w:trHeight w:val="210"/>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Debt, current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228,505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67,546</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42.0</w:t>
            </w:r>
          </w:p>
        </w:tc>
      </w:tr>
      <w:tr>
        <w:trPr>
          <w:trHeight w:val="195"/>
        </w:trPr>
        <w:tc>
          <w:tcPr>
            <w:tcW w:w="47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Debt, current to related parties</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376,526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210,391</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126.6</w:t>
            </w:r>
          </w:p>
        </w:tc>
      </w:tr>
      <w:tr>
        <w:trPr>
          <w:trHeight w:val="210"/>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(19,041)</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(18.0)</w:t>
            </w:r>
          </w:p>
        </w:tc>
      </w:tr>
      <w:tr>
        <w:trPr>
          <w:trHeight w:val="188"/>
        </w:trPr>
        <w:tc>
          <w:tcPr>
            <w:tcW w:w="47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non-current</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230,143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32,080</w:t>
            </w:r>
          </w:p>
        </w:tc>
        <w:tc>
          <w:tcPr>
            <w:tcW w:w="80" w:type="dxa"/>
            <w:vAlign w:val="bottom"/>
          </w:tcPr>
          <w:p>
            <w:pPr>
              <w:spacing w:after="0"/>
              <w:rPr>
                <w:sz w:val="16"/>
                <w:szCs w:val="16"/>
                <w:color w:val="auto"/>
              </w:rPr>
            </w:pPr>
          </w:p>
        </w:tc>
        <w:tc>
          <w:tcPr>
            <w:tcW w:w="14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13.9</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cash equivalents and restricted cash</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increased by $266.5 million, or 22.2%, as of March 31, 2026 compared to December 31, 2025, and restricted cash increased $3.3 million, or 4.8%. Refer to “—Liquidity and Capital Resources—Cash Flows” for the drivers in the change of cash, cash equivalents and restricted cash provided by operating, investing and financing activities during the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held for sale, at fair value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held for sale, at fair value increased by $99.6 million, or 24.6%, as of March 31, 2026 compared to December 31, 2025, primarily due to originations of $1.2 billion and purchases of $1.0 billion offset by loan sales, net of repurchases, of $1.9 billion and principal payments of $191.2 million.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Digital assets, current and non-current</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Digital assets, current and non-current, decreased $23.9 million, or 23.9%, as of March 31, 2026 compared to December 31, 2025, which represents the fair value change in digital assets we hold for sale and the gross change of digital assets we hold as collateral. We recognize offsetting liabilities and changes for digital assets held as collateral and do not record any net assets, gains, or losses thereon unless we are unable to liquidate collateral timely and are otherwise unable to collect amounts owed. We have not experienced any such losses to date.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Digital assets held as collateral, gross of offsetting liabilities, decreased $21.4 million during the three months ended March 31, 2026 due to a decrease of $19.7 million in Bitcoin holdings as a result of decreases in both the quantity and price of Bitcoin, and a $1.7 million decrease in Ethereum holdings due to a decrease in the price of Ethereum.</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Digital assets held at fair value decreased $2.7 million at March 31, 2026 primarily due to a $3.3 million decrease in the fair value of Solana holdings compared to the prior year.</w:t>
      </w:r>
    </w:p>
    <w:p>
      <w:pPr>
        <w:spacing w:after="0" w:line="33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Digital assets held at cost increased $0.2 million at March 31, 2026 primarily due to an increase in the quantity of HASH held.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in the Condensed Consolidated Financial Statements for further discussion on digital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net increased $13.3 million, or 25.6%, as of March 31, 2026 compared to December 31, 2025, primarily driven by a $6.8 million increase in trade accounts receivable, which is driven by overall increased Partner-branded volume. Management continues to monitor customer credit exposure and collection trends.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servicing asset, at fair value</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 servicing asset, at fair value, increased $12.9 million, or 11.4%, as of March 31, 2026 compared to December 31, 2025, reflecting a $20.4 million increase, or 98.2%, in the unpaid principal balance of loans serviced during the three months ended March 31, 2026, and a $1.2 million increase in the estimated fair value of servicing assets held based upon changes in valuation assumptions, partially offset by an $8.7 million decrease in servicing fee collections. See Note 4 in the Condensed Consolidated Financial Statements for further discussion on loan servicing assets.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Marketable securities, at fair value</w:t>
      </w:r>
    </w:p>
    <w:p>
      <w:pPr>
        <w:spacing w:after="0" w:line="17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Marketable securities, at fair value increased $25.3 million, or 9.3%, as of March 31, 2026, compared to December 31, 2025, primarily due to an increase in the volume of new securitizations that closed during the year in which the Company generally retained 5% of the total fair value contributed into securitizations, in the form of marketable securities. The newly retained marketable securities are partially offset by the scheduled paydown of existing marketable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Payables to third-party loan owners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Payables to third-party loan owners increased $67.6 million, or 17.6%, as of March 31, 2026 compared to December 31, 2025, due to an increase in our servicing portfolio. The overall balance may fluctuate based on timing of collections and payments to third-party loan owners.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current and non-current</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debt, current and non-current, including related party debt, increased by $310.0 million, or 55.6%, primarily due to an increase of $284.5 million in debt at fair value as a result of the growth in YLDS at FCC and Democratized Prime.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current liabilities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current liabilities decreased $19.0 million, or 18.0%, as of March 31, 2026 compared to December 31, 2025, primarily driven by a decrease of $21.4 million on crypto collateral held due to a decrease in both the quantity and price of crypto assets held as collateral, partially offset by a $2.3 million increase in liabilities due to the growth of deposit activity on Democratized Prime.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Funds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capital-efficient model by utilizing a diverse set of funding sources. When we originate a loan directly or purchase a loan originated by our origination partners, we often utilize warehouse credit facilities with certain lenders to finance our lending activities or loan purchases. We sell the loans we originate or purchase from our origination partners to whole loan buyers and securitization investors through Figure Connect,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 excess funding capacity and long-term relationships with a diverse group of existing funding partners help provide flexibility as we optimize our funding to support the growth in loan volume. For those loans sold through Figure Connect, we also collect fees as a source of funds. Our principal sources of liquidity are cash and cash</w:t>
      </w:r>
    </w:p>
    <w:p>
      <w:pPr>
        <w:spacing w:after="0" w:line="37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equivalents, digital assets, available for sale securities, available capacity from warehouse and revolving credit facilities, securitization trusts, forward flow loan sale arrangements, and cash flows from our operations.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2026, we had $1.5 billion in cash and cash equivalents, $71.9 million in restricted cash, $45.1 million in digital assets, excluding digital assets held as collateral, and $1.6 billion in available Funding Debt capacity, excluding purchase commitments from third-party loan buyers. As of December 31, 2025, we had $1.2 billion in cash and cash equivalents, $68.6 million in restricted cash, $47.6 million in digital assets held, excluding digital assets held as collateral, and $1.8 billion in available Funding Debt capacity, excluding purchase commitments from third-party loan buyers. Our restricted cash primarily relates to cash held by us on behalf of third-party loan sellers or buyers that represent collection of principal and interest from loan borrowers that we remit to those third parties as servicer of those loans.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current business plan and revenue prospects, we believe that our existing cash and cash equivalents, our anticipated cash flows from operations, and our available Funding Debt capacity will be sufficient to meet our working capital and operating resource expenditure requirements for at least the next 12 months from the date of this Quarterly Report. Beyond the next 12 months, we expect our long-term liquidity needs to consist primarily of working capital requirements and ongoing investments to support growth. We intend to maintain a strong liquidity position to provide flexibility to pursue strategic opportunities and manage potential variability in operating cash flows. As a result, we do not currently expect to require additional external financing to support our business operations over the long term.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Funding Sources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if any, the loans held in the securitization trusts are included in loans held for investment, and the notes sold to third-party investors are recorded in notes issued by securitization trusts in the consolidated balance sheets. We did not consolidate any securitization VIEs at March 31, 2026 or December 31, 2025. Refer to Note 9 in the Condensed Consolidated Financial Statements for further details.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Warehouse Credit Facilities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fund substantially all of the loans we close on a short-term basis primarily through our warehouse credit facilities and from our operations. Loan production activities generally require short-term liquidity in excess of amounts generated by our operations. The loans we originate are financed through several warehouse credit facilities. Our borrowings are in turn generally repaid with the proceeds we receive from loan sales. We maintain warehouse credit facilities with separate third-party lenders through FL LLC, Figure Markets Credit LLC, and their subsidiaries. Our warehouse credit facilities are primarily in the form of master repurchase agreements and loan participation agreements. Loans financed under these facilities are generally financed at approximately 80% to 100% of the principal balance of the loan (although certain types of loans are financed at lower percentages of the principal balance of the loan). Loans financed at less than 100% of the principal balance require us to fund the balance from cash generated from our operations. Once closed, the underlying loan that is held for sale is pledged as collateral for the borrowing or advance that was made under our warehouse credit facilities. In most cases, the loans will remain in one of the warehouse credit facilities for only a short time, generally less than one month, until the loans are sold. During the time the loans are held for sale, we earn interest income from the customer on the underlying loan. This income is partially offset by the interest and fees we pay due to borrowings from the warehouse credit facilities.</w:t>
      </w:r>
    </w:p>
    <w:p>
      <w:pPr>
        <w:spacing w:after="0" w:line="38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Borrowing capacity of committed debt facilities as of March 31, 2026 include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20" w:type="dxa"/>
            <w:vAlign w:val="bottom"/>
            <w:gridSpan w:val="5"/>
          </w:tcPr>
          <w:p>
            <w:pPr>
              <w:ind w:left="1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80" w:type="dxa"/>
            <w:vAlign w:val="bottom"/>
            <w:vMerge w:val="continue"/>
          </w:tcPr>
          <w:p>
            <w:pPr>
              <w:spacing w:after="0"/>
              <w:rPr>
                <w:sz w:val="16"/>
                <w:szCs w:val="16"/>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Final Stated Maturity</w:t>
            </w:r>
          </w:p>
        </w:tc>
        <w:tc>
          <w:tcPr>
            <w:tcW w:w="16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Borrowing Capacity</w:t>
            </w:r>
          </w:p>
        </w:tc>
        <w:tc>
          <w:tcPr>
            <w:tcW w:w="160" w:type="dxa"/>
            <w:vAlign w:val="bottom"/>
          </w:tcPr>
          <w:p>
            <w:pPr>
              <w:spacing w:after="0"/>
              <w:rPr>
                <w:sz w:val="16"/>
                <w:szCs w:val="16"/>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Balance Outstanding</w:t>
            </w:r>
          </w:p>
        </w:tc>
        <w:tc>
          <w:tcPr>
            <w:tcW w:w="160" w:type="dxa"/>
            <w:vAlign w:val="bottom"/>
          </w:tcPr>
          <w:p>
            <w:pPr>
              <w:spacing w:after="0"/>
              <w:rPr>
                <w:sz w:val="16"/>
                <w:szCs w:val="16"/>
                <w:color w:val="auto"/>
              </w:rPr>
            </w:pPr>
          </w:p>
        </w:tc>
        <w:tc>
          <w:tcPr>
            <w:tcW w:w="15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Available Financing</w:t>
            </w:r>
          </w:p>
        </w:tc>
        <w:tc>
          <w:tcPr>
            <w:tcW w:w="0" w:type="dxa"/>
            <w:vAlign w:val="bottom"/>
          </w:tcPr>
          <w:p>
            <w:pPr>
              <w:spacing w:after="0"/>
              <w:rPr>
                <w:sz w:val="1"/>
                <w:szCs w:val="1"/>
                <w:color w:val="auto"/>
              </w:rPr>
            </w:pPr>
          </w:p>
        </w:tc>
      </w:tr>
      <w:tr>
        <w:trPr>
          <w:trHeight w:val="189"/>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Funding Debt:</w:t>
            </w: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Warehouse Facility 1</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May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2,482</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147,518</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Warehouse Facility 2</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January 2027</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334,859</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Warehouse Facility 4</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May 2026</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Warehouse Facility 5</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April 2026</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299,027</w:t>
            </w: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Warehouse Facility 6</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2027</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289,651</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Digital Asset Loan Facility</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October 2026</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29,402</w:t>
            </w:r>
          </w:p>
        </w:tc>
        <w:tc>
          <w:tcPr>
            <w:tcW w:w="0" w:type="dxa"/>
            <w:vAlign w:val="bottom"/>
          </w:tcPr>
          <w:p>
            <w:pPr>
              <w:spacing w:after="0"/>
              <w:rPr>
                <w:sz w:val="1"/>
                <w:szCs w:val="1"/>
                <w:color w:val="auto"/>
              </w:rPr>
            </w:pPr>
          </w:p>
        </w:tc>
      </w:tr>
      <w:tr>
        <w:trPr>
          <w:trHeight w:val="270"/>
        </w:trPr>
        <w:tc>
          <w:tcPr>
            <w:tcW w:w="41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MSR financing:</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Lender 1</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June 2026</w:t>
            </w: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7"/>
        </w:trPr>
        <w:tc>
          <w:tcPr>
            <w:tcW w:w="418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Financed retained interests:</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Interest Facility</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263,796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236,204</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1,905,300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318,639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1,586,661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6 in the Condensed Consolidated Financial Statements for further details on our Warehouse Facilities and borrowing capacity.</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than as noted above, our warehouse credit facilities bear floating interest rates, are payable on a monthly basis, and contain certain financial covenants, such as minimum tangible net worth, minimum liquidity, maximum leverage ratios, required range of net income or loss during specified periods, and periodic financial reporting requirements. Failure to comply with these covenants may result in an acceleration of payment on outstanding principal and accrued interest. As of March 31, 2026 and December 31, 2025, we were in compliance with the applicable covenants under each of our warehouse credit facilities. Our future capital requirements will depend on many factors, including, but not limited to, our continued access to debt facilities on terms that are favorable to us, our growth, our ability to attract and retain customers, the continuing market acceptance of our offerings, the timing and extent of spending to support our efforts to develop our platform and the expansion of sales and marketing activities. Further, we may in the future enter into arrangements to acquire or invest in businesses, products, services, and technologies. From time to time, we may explore additional financing sources and means to lower our cost of capital, which could include equity, equity-linked, and debt financing. We cannot assure you that any additional financing will be available to us on acceptable terms, or at all. If we raise additional funds by issuing equity or equity-linked securities, the ownership of our existing stockholders will be diluted.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81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Net cash provided by (used in) operating activities</w:t>
            </w:r>
            <w:r>
              <w:rPr>
                <w:rFonts w:ascii="Times New Roman" w:cs="Times New Roman" w:eastAsia="Times New Roman" w:hAnsi="Times New Roman"/>
                <w:sz w:val="18"/>
                <w:szCs w:val="18"/>
                <w:color w:val="auto"/>
                <w:vertAlign w:val="superscript"/>
              </w:rPr>
              <w:t>(A)</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(37,818)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(140,273)</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Net cash used in investing activities</w:t>
            </w:r>
            <w:r>
              <w:rPr>
                <w:rFonts w:ascii="Times New Roman" w:cs="Times New Roman" w:eastAsia="Times New Roman" w:hAnsi="Times New Roman"/>
                <w:sz w:val="18"/>
                <w:szCs w:val="18"/>
                <w:color w:val="auto"/>
                <w:vertAlign w:val="superscript"/>
              </w:rPr>
              <w:t>(A)(B)</w:t>
            </w:r>
          </w:p>
        </w:tc>
        <w:tc>
          <w:tcPr>
            <w:tcW w:w="320" w:type="dxa"/>
            <w:vAlign w:val="bottom"/>
          </w:tcPr>
          <w:p>
            <w:pPr>
              <w:spacing w:after="0"/>
              <w:rPr>
                <w:sz w:val="17"/>
                <w:szCs w:val="17"/>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(53,593)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(16,127)</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361,223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196,032</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hanging="170"/>
        <w:spacing w:after="0" w:line="271" w:lineRule="auto"/>
        <w:tabs>
          <w:tab w:leader="none" w:pos="331" w:val="left"/>
        </w:tabs>
        <w:numPr>
          <w:ilvl w:val="0"/>
          <w:numId w:val="4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December 31, 2025, we corrected the presentation of retained beneficial interests in loan securitization transactions in the Condensed Consolidated Statements of Cash Flows. Prior period amounts have been recast to conform to the current period presentation. For further information, see Note 2 to the Condensed Consolidated Financial Statements.</w:t>
      </w:r>
    </w:p>
    <w:p>
      <w:pPr>
        <w:ind w:left="340" w:hanging="170"/>
        <w:spacing w:after="0" w:line="249" w:lineRule="auto"/>
        <w:tabs>
          <w:tab w:leader="none" w:pos="326" w:val="left"/>
        </w:tabs>
        <w:numPr>
          <w:ilvl w:val="0"/>
          <w:numId w:val="4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December 31, 2025, we reclassified USDC stablecoins from “Digital assets” to “Cash and cash equivalents” on the Condensed Consolidated Balance Sheets. Prior period amounts have been recast to conform to the current period presentation. For further information, see Note 2 to the Condensed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Operating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$37.8 million for the three months ended March 31, 2026, which consisted of net income of $45.0 million, working capital adjustments of $62.6 million, and non-cash adjustments of $(20.3) million. The working capital adjustments were driven by originations of loans held for sale of $1.2 billion and purchases of loans held for sale of $1.0 billion, partially offset by proceeds from loan sales, net of repurchases of $2.0 billion and principal payments on loans held for sale of $187.0 million. Additionally, working capital adjustments were impacted by changes in</w:t>
      </w:r>
    </w:p>
    <w:p>
      <w:pPr>
        <w:spacing w:after="0" w:line="35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of $8.4 million and accounts payable and other liabilities of $4.6 million. The non-cash adjustments were primarily driven by gain on sale of loans, net, of $53.3 million, and gains on servicing assets, net, of $12.9 million, partially offset by $25.9 million in stock based compensation, $8.2 million in interest expense, and $4.7 million in amortization of internally developed software.</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$140.3 million for the three months ended March 31, 2025, which consisted of a net loss of $0.6 million, working capital adjustments of $126.7 million, and non-cash adjustments of $12.9 million. The working capital adjustments were driven by originations of loans held for sale of $680.4 million and purchases of loans held for sale of $516.9 million, partially offset by proceeds from loan sales, net of repurchases of $978.2 million and principal payments on loans held for sale of $96.0 million. The non-cash adjustments were primarily driven by gain on sale of loans, net, of $29.8 million, and gains on servicing assets, net, of $0.3 million, partially offset by $2.4 million in stock based compensation, $3.9 million in amortization of internally developed software, services exchanged for the issuance of warrants of $2.9 million, and losses on repurchased loans of $1.6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Investing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$53.6 million for the three months ended March 31, 2026, primarily due to $51.6 million in purchases of marketable securities, $11.7 million related to the deconsolidation of a subsidiary, $13.0 million in partner prefunding, and $6.4 million in capitalization of internally developed software, partially offset by $18.1 million of principal payments on marketable securities, $10.5 million of partner prefunding repayments, and $1.6 million of realized losses on futures.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$16.1 million for the three months ended March 31, 2025, primarily due to $15.2 million in purchases of marketable securities, $4.4 million in capitalization of internally developed software costs. and $1.6 million in purchases of digital assets, partially offset by $2.6 million of proceeds from digital asset sales and $2.5 million of principal payments on marketable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from Financing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$361.2 million for the three months ended March 31, 2026, during which we received total proceeds from debt of $2.2 billion, partially offset by $1.9 billion related to total principal payments on debt. Additionally, financing activities were impacted by $68.5 million in proceeds from servicing activity on behalf of third-party loan owners and $8.8 million in proceeds from stock option exercises, partially offset by $9.7 million in common stock repurchases and $8.5 million in taxes paid related to net share settlement of equity awards.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$196.0 million for the three months ended March 31, 2025, during which we received proceeds from debt of $1.0 billion, partially offset by $891.4 million related to principal payments on debt. Additionally, financing activities were impacted by $49.9 million in proceeds from servicing activity on behalf of third-party loan owners.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Changes in Financial Position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Noncontrolling interest in consolidated subsidiaries was $1.0 thousand at March 31, 2026, a decrease of $8.4 million from December 31, 2025, primarily due to the deconsolidation of Figure REIT, Inc. in March 2026. For further information on the deconsolidation, see Note 7, “Noncontrolling Interests in Consolidated Subsidiaries”, in the Condensed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Factors Affecting 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lease obligations consist of our lease of real property from third parties under noncancellable operating leases, including the lease of its current office spaces. Operating lease expense for our office space was $0.7 million and $0.7 million for the three months ended March 31, 2026 and 2025, respectively. Our office leases are scheduled to expire between 2026 and 2031.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our cash, cash equivalents, and restricted cash was $1.5 billion, which included $434.5 million of cash held for the benefit of third parties. As of December 31, 2025, our cash, cash equivalents, and restricted cash was $1.3 billion, which included $364.9 million of cash held for the benefit of third parties. The restricted cash held by us primarily</w:t>
      </w:r>
    </w:p>
    <w:p>
      <w:pPr>
        <w:spacing w:after="0" w:line="36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relates to cash held by us on behalf of third-party loan sellers or buyers that represent collection of principal and interest from loan borrowers that we remit to those third parties as servicer of those loans.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Figure’s secondary public offering in February 2026, the Company utilized approximately $10.0 million of cash on hand to repurchase 312,500 shares of its Class A common stock from the underwriters at the public offering price of $32.00 (the "Share Repurchase"). The shares acquired in the Share Repurchase are held in treasury. The completion of this transaction resulted in an approximately $10.0 million reduction in cash and cash equivalents and a corresponding increase in treasury stock, with no net impact on the total number of common shares outstanding.</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25, 2026, the Company’s Board of Directors authorized a Share Repurchase Program under which the Company may repurchase up to $200 million of its Class A common stock and Blockchain common stock over the next 12 months subject to market conditions, contractual restrictions and other factors.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Repurchases under the Share Repurchase Program may be made from time to time in the open market, through privately negotiated transactions, accelerated share repurchase transactions, or by other means in accordance with applicable securities laws and regulations. The timing, number of shares repurchased, and prices paid will depend on market conditions, share price, trading volume, corporate considerations, and other factors. Open market repurchases will be structured to occur within the pricing and volume requirements of Rule 10b-18. The Company also treats shares of common stock withheld for tax purposes on behalf of employees in connection with the vesting of RSUs as common stock repurchases because they reduce the number of shares that would have been issued upon vesting. These withheld shares of common stock are considered common stock repurchases under our authorized common stock repurchase program. The Company may also, from time to time, enter into Rule 10b5-1 plans to facilitate repurchases of its shares under this authorization.</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Share Repurchase Program does not obligate the Company to acquire any particular amount of stock and the program may be extended, modified, suspended or discontinued at any time at the Company’s discretion.</w:t>
      </w:r>
    </w:p>
    <w:p>
      <w:pPr>
        <w:spacing w:after="0" w:line="108" w:lineRule="exact"/>
        <w:rPr>
          <w:sz w:val="20"/>
          <w:szCs w:val="20"/>
          <w:color w:val="auto"/>
        </w:rPr>
      </w:pPr>
    </w:p>
    <w:p>
      <w:pPr>
        <w:ind w:right="1940"/>
        <w:spacing w:after="0" w:line="438" w:lineRule="auto"/>
        <w:rPr>
          <w:sz w:val="20"/>
          <w:szCs w:val="20"/>
          <w:color w:val="auto"/>
        </w:rPr>
      </w:pPr>
      <w:r>
        <w:rPr>
          <w:rFonts w:ascii="Times New Roman" w:cs="Times New Roman" w:eastAsia="Times New Roman" w:hAnsi="Times New Roman"/>
          <w:sz w:val="18"/>
          <w:szCs w:val="18"/>
          <w:color w:val="auto"/>
        </w:rPr>
        <w:t xml:space="preserve">As of March 31, 2026, Figure repurchased no shares and has $200.0 million remaining authorized under the repurchase program. </w:t>
      </w:r>
      <w:r>
        <w:rPr>
          <w:rFonts w:ascii="Times New Roman" w:cs="Times New Roman" w:eastAsia="Times New Roman" w:hAnsi="Times New Roman"/>
          <w:sz w:val="18"/>
          <w:szCs w:val="18"/>
          <w:b w:val="1"/>
          <w:bCs w:val="1"/>
          <w:color w:val="auto"/>
        </w:rPr>
        <w:t>Non-GAAP Financial Measures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better help understand our financial performance, we use several key performance metrics that should be viewed independently of GAAP items, as these metrics are not intended to be combined with those items.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Net Revenue is a non-GAAP financial measure used by our management to evaluate operating performance. Accordingly, we believe this measure provides useful information to investors and others in understanding and evaluating our operating results in the same manner as our management and board of directors. In addition, Adjusted Net Revenue provides a useful measure for period-to-period comparisons of our business, as it removes the effect of a non-cash, non-realized adjustment that is included in net revenue. Adjusted Net Revenue is defined as net revenue excluding the change in fair value of MSR and change in fair value of marketable securities associated with changes in our estimates that management has determined are not reflective of our operating performance, and net of interest paid to holders of YLDS.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and Adjusted EBITDA Margin are non-GAAP financial measures used by our management to evaluate operating performance, generate future operating plans, and make strategic decisions, including those relating to operating expenses and the allocation of internal resources. Accordingly, we believe these measures provide useful information to investors and others in understanding and evaluating our operating results in the same manner as our management and board of directors. In addition, these measures provide useful information for period-to-period comparisons of our business, as it removes the effect of certain non-cash items, variable charges, non-recurring items, unrealized gains or losses or other similar non-cash items that are included in net income or expenses associated with the early stages of the business that are expected to ultimately terminate, pursuant to the terms of certain existing contractual arrangements or expected to continue at levels materially below the historical level, or that otherwise do not contribute directly to</w:t>
      </w:r>
    </w:p>
    <w:p>
      <w:pPr>
        <w:spacing w:after="0" w:line="37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56</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18"/>
          <w:szCs w:val="18"/>
          <w:color w:val="auto"/>
        </w:rPr>
        <w:t>management’s evaluation of its operating results. Adjusted EBITDA is defined as net income excluding interest expense incurred in connection with our debt obligations other than debt associated with our funding of loans held for sale, income taxes, amortization and depreciation expense, stock-based compensation expense, non-cash changes in certain financial instruments, and other items that management has determined are not reflective of our operating performance. Adjusted EBITDA Margin is calculated as Adjusted EBITDA divided by adjusted net revenue. The most directly comparable GAAP measure is net income margin (calculated as net income divided by total net revenue).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added valuation changes in the fair value of marketable securities and YLDS funding costs to its definition of Adjusted Net Revenue, and valuation changes in the fair value of marketable securities, to its definition of Adjusted EBITDA effective March 31, 2026.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excludes period-to-period changes in the fair value of marketable securities from Adjusted Net Revenue and Adjusted EBITDA because they reflect non-cash, unrealized mark-to-market fluctuations driven by external market factors, including changes in discount rates, prepayment speeds, and credit spreads, that are not reflective of the Company's underlying operating performance.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economic benefit from YLDS is the 35 basis point spread it retains on outstanding balances, regardless of the total amount of YLDS in circulation. Management therefore presents YLDS-related interest expense net of associated interest income within Adjusted Net Revenue, as it believes this net spread is the most meaningful measure of the YLDS's contribution to operating performance.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net revenue to adjusted net revenue, net income to adjusted EBITDA, and net income margin to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margin for the three months ended March 31, 2026 and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9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net revenue</w:t>
            </w: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167,007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84,510</w:t>
            </w:r>
          </w:p>
        </w:tc>
        <w:tc>
          <w:tcPr>
            <w:tcW w:w="0" w:type="dxa"/>
            <w:vAlign w:val="bottom"/>
          </w:tcPr>
          <w:p>
            <w:pPr>
              <w:spacing w:after="0"/>
              <w:rPr>
                <w:sz w:val="1"/>
                <w:szCs w:val="1"/>
                <w:color w:val="auto"/>
              </w:rPr>
            </w:pPr>
          </w:p>
        </w:tc>
      </w:tr>
      <w:tr>
        <w:trPr>
          <w:trHeight w:val="196"/>
        </w:trPr>
        <w:tc>
          <w:tcPr>
            <w:tcW w:w="798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Adjusted for: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Valuation changes in fair value of MSRs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4,703</w:t>
            </w:r>
          </w:p>
        </w:tc>
        <w:tc>
          <w:tcPr>
            <w:tcW w:w="0" w:type="dxa"/>
            <w:vAlign w:val="bottom"/>
          </w:tcPr>
          <w:p>
            <w:pPr>
              <w:spacing w:after="0"/>
              <w:rPr>
                <w:sz w:val="1"/>
                <w:szCs w:val="1"/>
                <w:color w:val="auto"/>
              </w:rPr>
            </w:pPr>
          </w:p>
        </w:tc>
      </w:tr>
      <w:tr>
        <w:trPr>
          <w:trHeight w:val="203"/>
        </w:trPr>
        <w:tc>
          <w:tcPr>
            <w:tcW w:w="798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Valuation changes in fair value of marketable securities</w:t>
            </w:r>
            <w:r>
              <w:rPr>
                <w:rFonts w:ascii="Times New Roman" w:cs="Times New Roman" w:eastAsia="Times New Roman" w:hAnsi="Times New Roman"/>
                <w:sz w:val="18"/>
                <w:szCs w:val="18"/>
                <w:color w:val="auto"/>
                <w:vertAlign w:val="superscript"/>
              </w:rPr>
              <w:t>(A)</w:t>
            </w: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(2,231)</w:t>
            </w: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4"/>
                <w:szCs w:val="14"/>
                <w:color w:val="auto"/>
              </w:rPr>
              <w:t>YLDS funding costs</w:t>
            </w:r>
            <w:r>
              <w:rPr>
                <w:rFonts w:ascii="Times New Roman" w:cs="Times New Roman" w:eastAsia="Times New Roman" w:hAnsi="Times New Roman"/>
                <w:sz w:val="18"/>
                <w:szCs w:val="18"/>
                <w:color w:val="auto"/>
                <w:vertAlign w:val="superscript"/>
              </w:rPr>
              <w:t>(A)</w:t>
            </w: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revenue</w:t>
            </w: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166,843</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86,982</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45,047</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i w:val="1"/>
                <w:iCs w:val="1"/>
                <w:color w:val="auto"/>
              </w:rPr>
              <w:t>Adjusted for:</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Valuation changes in fair value of MSRs</w:t>
            </w:r>
          </w:p>
        </w:tc>
        <w:tc>
          <w:tcPr>
            <w:tcW w:w="36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4,703</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Valuation changes in fair value of marketable securities</w:t>
            </w:r>
            <w:r>
              <w:rPr>
                <w:rFonts w:ascii="Times New Roman" w:cs="Times New Roman" w:eastAsia="Times New Roman" w:hAnsi="Times New Roman"/>
                <w:sz w:val="18"/>
                <w:szCs w:val="18"/>
                <w:color w:val="auto"/>
                <w:vertAlign w:val="superscript"/>
              </w:rPr>
              <w:t>(A)</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(2,231)</w:t>
            </w:r>
          </w:p>
        </w:tc>
        <w:tc>
          <w:tcPr>
            <w:tcW w:w="0" w:type="dxa"/>
            <w:vAlign w:val="bottom"/>
          </w:tcPr>
          <w:p>
            <w:pPr>
              <w:spacing w:after="0"/>
              <w:rPr>
                <w:sz w:val="1"/>
                <w:szCs w:val="1"/>
                <w:color w:val="auto"/>
              </w:rPr>
            </w:pPr>
          </w:p>
        </w:tc>
      </w:tr>
      <w:tr>
        <w:trPr>
          <w:trHeight w:val="195"/>
        </w:trPr>
        <w:tc>
          <w:tcPr>
            <w:tcW w:w="7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Change in fair value of digital assets and related investments</w:t>
            </w:r>
          </w:p>
        </w:tc>
        <w:tc>
          <w:tcPr>
            <w:tcW w:w="3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4,783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9,962</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Services exchanged for issuance of warrants</w:t>
            </w:r>
            <w:r>
              <w:rPr>
                <w:rFonts w:ascii="Times New Roman" w:cs="Times New Roman" w:eastAsia="Times New Roman" w:hAnsi="Times New Roman"/>
                <w:sz w:val="18"/>
                <w:szCs w:val="18"/>
                <w:color w:val="auto"/>
                <w:vertAlign w:val="superscript"/>
              </w:rPr>
              <w:t>(B)</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195"/>
        </w:trPr>
        <w:tc>
          <w:tcPr>
            <w:tcW w:w="7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Registration costs</w:t>
            </w:r>
          </w:p>
        </w:tc>
        <w:tc>
          <w:tcPr>
            <w:tcW w:w="3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1,519</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Restructuring costs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203"/>
        </w:trPr>
        <w:tc>
          <w:tcPr>
            <w:tcW w:w="7980" w:type="dxa"/>
            <w:vAlign w:val="bottom"/>
          </w:tcPr>
          <w:p>
            <w:pPr>
              <w:ind w:left="240"/>
              <w:spacing w:after="0" w:line="202" w:lineRule="exact"/>
              <w:rPr>
                <w:sz w:val="20"/>
                <w:szCs w:val="20"/>
                <w:color w:val="auto"/>
              </w:rPr>
            </w:pPr>
            <w:r>
              <w:rPr>
                <w:rFonts w:ascii="Times New Roman" w:cs="Times New Roman" w:eastAsia="Times New Roman" w:hAnsi="Times New Roman"/>
                <w:sz w:val="14"/>
                <w:szCs w:val="14"/>
                <w:color w:val="auto"/>
              </w:rPr>
              <w:t>Stock-based compensation expense</w:t>
            </w:r>
            <w:r>
              <w:rPr>
                <w:rFonts w:ascii="Times New Roman" w:cs="Times New Roman" w:eastAsia="Times New Roman" w:hAnsi="Times New Roman"/>
                <w:sz w:val="18"/>
                <w:szCs w:val="18"/>
                <w:color w:val="auto"/>
                <w:vertAlign w:val="superscript"/>
              </w:rPr>
              <w:t>(B)</w:t>
            </w: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25,878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2,414</w:t>
            </w:r>
          </w:p>
        </w:tc>
        <w:tc>
          <w:tcPr>
            <w:tcW w:w="0" w:type="dxa"/>
            <w:vAlign w:val="bottom"/>
          </w:tcPr>
          <w:p>
            <w:pPr>
              <w:spacing w:after="0"/>
              <w:rPr>
                <w:sz w:val="1"/>
                <w:szCs w:val="1"/>
                <w:color w:val="auto"/>
              </w:rPr>
            </w:pPr>
          </w:p>
        </w:tc>
      </w:tr>
      <w:tr>
        <w:trPr>
          <w:trHeight w:val="203"/>
        </w:trPr>
        <w:tc>
          <w:tcPr>
            <w:tcW w:w="7980" w:type="dxa"/>
            <w:vAlign w:val="bottom"/>
            <w:shd w:val="clear" w:color="auto" w:fill="CCEEFF"/>
          </w:tcPr>
          <w:p>
            <w:pPr>
              <w:ind w:left="240"/>
              <w:spacing w:after="0" w:line="202" w:lineRule="exact"/>
              <w:rPr>
                <w:sz w:val="20"/>
                <w:szCs w:val="20"/>
                <w:color w:val="auto"/>
              </w:rPr>
            </w:pPr>
            <w:r>
              <w:rPr>
                <w:rFonts w:ascii="Times New Roman" w:cs="Times New Roman" w:eastAsia="Times New Roman" w:hAnsi="Times New Roman"/>
                <w:sz w:val="14"/>
                <w:szCs w:val="14"/>
                <w:color w:val="auto"/>
              </w:rPr>
              <w:t>Amortization of internally developed software costs</w:t>
            </w:r>
            <w:r>
              <w:rPr>
                <w:rFonts w:ascii="Times New Roman" w:cs="Times New Roman" w:eastAsia="Times New Roman" w:hAnsi="Times New Roman"/>
                <w:sz w:val="18"/>
                <w:szCs w:val="18"/>
                <w:color w:val="auto"/>
                <w:vertAlign w:val="superscript"/>
              </w:rPr>
              <w:t>(B)</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3,943</w:t>
            </w:r>
          </w:p>
        </w:tc>
        <w:tc>
          <w:tcPr>
            <w:tcW w:w="0" w:type="dxa"/>
            <w:vAlign w:val="bottom"/>
          </w:tcPr>
          <w:p>
            <w:pPr>
              <w:spacing w:after="0"/>
              <w:rPr>
                <w:sz w:val="1"/>
                <w:szCs w:val="1"/>
                <w:color w:val="auto"/>
              </w:rPr>
            </w:pPr>
          </w:p>
        </w:tc>
      </w:tr>
      <w:tr>
        <w:trPr>
          <w:trHeight w:val="195"/>
        </w:trPr>
        <w:tc>
          <w:tcPr>
            <w:tcW w:w="79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Non-funding interest expense</w:t>
            </w:r>
          </w:p>
        </w:tc>
        <w:tc>
          <w:tcPr>
            <w:tcW w:w="3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5,593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3,732</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tax provision</w:t>
            </w: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(6,945)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196"/>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82,696</w:t>
            </w: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28,344</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margin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88"/>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49.6 %</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180" w:hanging="172"/>
        <w:spacing w:after="0" w:line="243" w:lineRule="auto"/>
        <w:tabs>
          <w:tab w:leader="none" w:pos="171" w:val="left"/>
        </w:tabs>
        <w:numPr>
          <w:ilvl w:val="0"/>
          <w:numId w:val="4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Company added valuation changes in the fair value of marketable securities and YLDS funding costs to its definition of Adjusted Net Revenue, and valuation changes in the fair value of marketable securities to its definition of Adjusted EBITDA effective March 31, 2026. These adjustments have been applied retrospectively to all periods presented.</w:t>
      </w:r>
    </w:p>
    <w:p>
      <w:pPr>
        <w:ind w:left="180" w:hanging="172"/>
        <w:spacing w:after="0" w:line="283" w:lineRule="auto"/>
        <w:tabs>
          <w:tab w:leader="none" w:pos="166" w:val="left"/>
        </w:tabs>
        <w:numPr>
          <w:ilvl w:val="0"/>
          <w:numId w:val="4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Company has made immaterial adjustments, with no individual adjustment greater than $43 thousand, to correct the presentation of services exchanged for issuance of warrants, stock-based compensation expense, and amortization of internally developed software costs for the three months ended March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accounting principles generally accepted in the United States (“GAAP”). In preparing our Condensed Consolidated Financial Statements, we make assumptions, judgments, and estimates that can have a significant impact on amounts reported in our Condensed</w:t>
      </w:r>
    </w:p>
    <w:p>
      <w:pPr>
        <w:spacing w:after="0" w:line="36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57</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7" w:name="page58"/>
    <w:bookmarkEnd w:id="57"/>
    <w:p>
      <w:pPr>
        <w:jc w:val="both"/>
        <w:spacing w:after="0" w:line="258" w:lineRule="auto"/>
        <w:rPr>
          <w:sz w:val="20"/>
          <w:szCs w:val="20"/>
          <w:color w:val="auto"/>
        </w:rPr>
      </w:pPr>
      <w:r>
        <w:rPr>
          <w:rFonts w:ascii="Times New Roman" w:cs="Times New Roman" w:eastAsia="Times New Roman" w:hAnsi="Times New Roman"/>
          <w:sz w:val="18"/>
          <w:szCs w:val="18"/>
          <w:color w:val="auto"/>
        </w:rPr>
        <w:t>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Item 8, “Financial Statements and Supplementary Data,” Note 2, “Summary of Significant Accounting Policies,” in the Notes to Consolidated Financial Statements in our Annual Report on Form 10-K for the fiscal year ended December 31, 2025.</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Annual Report on Form 10-K. There have been no material changes to our critical accounting policies and estimates during the three months ended March 31, 2026, as compared to those disclosed in our Annual Report on Form 10-K for the fiscal year ended December 31, 2025. We believe these policies are the most critical to aid in fully understanding and evaluating our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for recently issued accounting pronouncements not yet adopted as of the dates of the statement of financial position.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from the disclosure included under “Quantitative and Qualitative Disclosures of Market risk” in our Annual Report on Form 10-K for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the effectiveness of our disclosure controls and procedures (as defined in Rules 13a-15(e) and 15d-15(e) under the Exchange Act). Based on that evaluation, our principal executive officer and principal financial officer concluded that, as of March 31, 2026, our disclosure controls and procedures were effective at the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35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and from time to time in the future may be, subject to legal proceedings and claims arising in the ordinary course of our business. We are not currently a party to or aware of any proceedings that we believe will have, individually or in the aggregate, a material adverse effect on our business, financial condition, or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are subject to various risks described in the Company's Annual Report on Form 10-K. There have been no material changes to the risk factors identified in the Company's Annual Report on Form 10-K for the year ended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 of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Initial Public Offering Proceeds</w:t>
      </w:r>
    </w:p>
    <w:p>
      <w:pPr>
        <w:spacing w:after="0" w:line="134"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On September 10, 2025, the SEC declared effective our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(File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289695), as amended, filed in connection with our IPO. There has been no material change in the planned use of the net proceeds from our IPO as described in our Prospectus.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25, 2026, the Company’s Board of Directors authorized a Share Repurchase Program under which the Company may repurchase up to $200 million of its Class A and Blockchain common stock over the following 12 months subject to market conditions, contractual restrictions and other factors.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Repurchases under the Share Repurchase Program may be made from time to time in the open market, through privately negotiated transactions, accelerated share repurchase transactions, or by other means in accordance with applicable securities laws and regulations. The timing, number of shares repurchased, and prices paid will depend on market conditions, share price, trading volume, corporate considerations, and other factors. Open market repurchases will be structured to occur within the pricing and volume requirements of Rule 10b-18. The Company also treats shares of common stock withheld for tax purposes on behalf of employees in connection with the vesting of RSUs as common stock repurchases because they reduce the number of shares that would have been issued upon vesting. These withheld shares of common stock are considered common stock repurchases under our authorized common stock repurchase program. The Company may also, from time to time, enter into Rule 10b5-1 plans to facilitate repurchases of its shares under this authorization.</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Share Repurchase Program does not obligate the Company to acquire any particular amount of stock and the program may be extended, modified, suspended or discontinued at any time at the Company’s discretion. As of March 31, 2026, the Company had not repurchased shares under this repurchase program.</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purchases of our own equity securities during the three months ended March 31, 2026 (dollars in thousands, except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 as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 Announced Plans or</w:t>
            </w:r>
          </w:p>
        </w:tc>
        <w:tc>
          <w:tcPr>
            <w:tcW w:w="100" w:type="dxa"/>
            <w:vAlign w:val="bottom"/>
          </w:tcPr>
          <w:p>
            <w:pPr>
              <w:spacing w:after="0"/>
              <w:rPr>
                <w:sz w:val="14"/>
                <w:szCs w:val="14"/>
                <w:color w:val="auto"/>
              </w:rPr>
            </w:pPr>
          </w:p>
        </w:tc>
        <w:tc>
          <w:tcPr>
            <w:tcW w:w="3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Approximate Dollar Value of Shares That May</w:t>
            </w:r>
          </w:p>
        </w:tc>
      </w:tr>
      <w:tr>
        <w:trPr>
          <w:trHeight w:val="190"/>
        </w:trPr>
        <w:tc>
          <w:tcPr>
            <w:tcW w:w="244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Yet be Purchased Under the Plans or Programs</w:t>
            </w:r>
          </w:p>
        </w:tc>
      </w:tr>
      <w:tr>
        <w:trPr>
          <w:trHeight w:val="23"/>
        </w:trPr>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90"/>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1-31</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3051F2"/>
              </w:rPr>
              <w:t>—</w:t>
            </w:r>
          </w:p>
        </w:tc>
        <w:tc>
          <w:tcPr>
            <w:tcW w:w="126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February 1-28 </w:t>
            </w:r>
            <w:r>
              <w:rPr>
                <w:rFonts w:ascii="Times New Roman" w:cs="Times New Roman" w:eastAsia="Times New Roman" w:hAnsi="Times New Roman"/>
                <w:sz w:val="18"/>
                <w:szCs w:val="18"/>
                <w:color w:val="auto"/>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1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200,000,000</w:t>
            </w:r>
          </w:p>
        </w:tc>
      </w:tr>
      <w:tr>
        <w:trPr>
          <w:trHeight w:val="216"/>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1-31</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200,000,000</w:t>
            </w:r>
          </w:p>
        </w:tc>
      </w:tr>
      <w:tr>
        <w:trPr>
          <w:trHeight w:val="186"/>
        </w:trPr>
        <w:tc>
          <w:tcPr>
            <w:tcW w:w="2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312,500</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60" w:type="dxa"/>
            <w:vAlign w:val="bottom"/>
          </w:tcPr>
          <w:p>
            <w:pPr>
              <w:spacing w:after="0"/>
              <w:rPr>
                <w:sz w:val="16"/>
                <w:szCs w:val="16"/>
                <w:color w:val="auto"/>
              </w:rPr>
            </w:pPr>
          </w:p>
        </w:tc>
      </w:tr>
    </w:tbl>
    <w:p>
      <w:pPr>
        <w:spacing w:after="0" w:line="257" w:lineRule="exact"/>
        <w:rPr>
          <w:sz w:val="20"/>
          <w:szCs w:val="20"/>
          <w:color w:val="auto"/>
        </w:rPr>
      </w:pPr>
    </w:p>
    <w:p>
      <w:pPr>
        <w:jc w:val="both"/>
        <w:ind w:left="340" w:hanging="170"/>
        <w:spacing w:after="0" w:line="233" w:lineRule="auto"/>
        <w:tabs>
          <w:tab w:leader="none" w:pos="459" w:val="left"/>
        </w:tabs>
        <w:numPr>
          <w:ilvl w:val="0"/>
          <w:numId w:val="4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February 2026 the Company completed a secondary public offering of 4,375,000 shares of its Series A Blockchain Common Stock. The selling stockholders in the offering agreed to sell 4,687,500 shares of Class A common stock to the underwriters; the Company did not raise proceeds through this offering. In conjunction with the offering, the Company repurchased 312,500 of Class A common stock, subsequently held in treasury,</w:t>
      </w:r>
    </w:p>
    <w:p>
      <w:pPr>
        <w:spacing w:after="0" w:line="39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59</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9" w:name="page60"/>
    <w:bookmarkEnd w:id="59"/>
    <w:p>
      <w:pPr>
        <w:ind w:left="340"/>
        <w:spacing w:after="0" w:line="302" w:lineRule="auto"/>
        <w:rPr>
          <w:sz w:val="20"/>
          <w:szCs w:val="20"/>
          <w:color w:val="auto"/>
        </w:rPr>
      </w:pPr>
      <w:r>
        <w:rPr>
          <w:rFonts w:ascii="Times New Roman" w:cs="Times New Roman" w:eastAsia="Times New Roman" w:hAnsi="Times New Roman"/>
          <w:sz w:val="14"/>
          <w:szCs w:val="14"/>
          <w:color w:val="auto"/>
        </w:rPr>
        <w:t>that were subject to the offering at an aggregate amount of approximately $10 million at $32.00 per share, which were incremental to the $200 million Board approved repurchase authorization on February 25,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60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Disclosure in lieu of reporting on a Current Report on Form 8-K</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14, 2026, the Board of Directors of the Company approved an amendment and restatement of its 2025 Incentive Award Plan (as amended and restated, the “2025 Plan”) to, among other things, eliminate automatic double-trigger vesting for awards assumed in connection with a Change in Control (as defined in the 2025 Plan) following the holder’s involuntary termination in order to provide the Company with increased flexibility.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on May 14, 2026, the Company entered into a letter agreement (the “Letter Agreement”) with Todd Stevens, its Chief Capital Officer, providing for his eligibility for severance equal to 12 months of continued base salary payments in connection with a termination by the Company without Cause, as well as full vesting acceleration of any unvested equity-based awards held by Mr. Stevens upon his termination of service by the Company without Cause or resignation for Good Reason, in each case, within 12 months of a Change in Control (as each such term is defined in the Letter Agreement), subject to his execution of a release of claims in favor of the Company. Additionally, the Letter Agreement contains a 12 month post-termination non-competition covenant.</w:t>
      </w:r>
    </w:p>
    <w:p>
      <w:pPr>
        <w:spacing w:after="0" w:line="1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also approved, on May 14, 2026, the following treatment for any unvested equity-based awards held by certain key employees, including Michael Tannenbaum (our Chief Executive Officer), Macrina Kgil (our Chief Financial Officer) and Todd Stevens, in connection with a “change in control” (as such term is defined in the applicable equity incentive plan document). If such a change in control occurs, and such employee’s unvested equity-based awards are not assumed and, on or within 12 months following such change in control, the Company (or its successor entity or a parent or subsidiary thereof) terminates such employee’s service for any reason (other than for “cause” (as such term is defined in the 2025 Plan) or as a result of death or disability) or such employee resigns with “good reason” (as defined below), then (i) the remaining unvested equity-based awards will fully accelerate, and (ii) any options will remain exercisable for six months following the date of termination (except as would be beyond such option’s expiration date). For purposes of this treatment, “good reason” means: (i) a material diminution of base salary, unless such diminution is part of a generalized salary reduction affecting similarly situated employees; provided that a diminution of 10% or less in any one calendar year will not be deemed material; (ii) a material diminution of authority, duties or responsibilities as an employee relative to such authority, duties or responsibilities in effect immediately prior to such diminution; provided that authority, duties and responsibilities will not be deemed to be materially reduced if the employee has reasonably comparable authority, duties and responsibilities as an employee with respect to the Company’s business following a Change in Control, regardless of any change in title or whether the employee subsequently provides services to a subsidiary, affiliate, business unit, division or otherwise; (iii) a material change in the principal geographic location at which the employee must perform services for the Company (relocation to a facility or a location that would not increase a one-way commute distance by more than 35 miles from the employee’s then principal residence shall not be considered a material change in geographic location); or (iv) a material breach by the Company of the agreement under which the employee provides services to the Company.</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of the 2025 Plan and Letter Agreement do not purport to be complete and are subject to and qualified in their entirety by reference to the 2025 Plan and the Letter Agreement, which are filed as Exhibits 10.1, and 10.2, respectively, to this Quarterly Report on Form 10-Q.</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Material changes to the procedures by which security holders may recommend nominees to the board of directors.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Insider Trading Arrangements and Policies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officer, as defined in Rule 16a-1(f), or director adopted or terminated a “Rule 10b5-1 trading arrangement” or a “non-Rule 10b5-1 trading arrangement,” as defined in Regulation S-K Item 408, during the three months ended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 AND FINANCIAL STATEMENT SCHEDULES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1"/>
        </w:trPr>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Filed/</w:t>
            </w:r>
          </w:p>
        </w:tc>
      </w:tr>
      <w:tr>
        <w:trPr>
          <w:trHeight w:val="216"/>
        </w:trPr>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Furnished</w:t>
            </w:r>
          </w:p>
        </w:tc>
      </w:tr>
      <w:tr>
        <w:trPr>
          <w:trHeight w:val="238"/>
        </w:trPr>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7"/>
        </w:trPr>
        <w:tc>
          <w:tcPr>
            <w:tcW w:w="10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0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3"/>
        </w:trPr>
        <w:tc>
          <w:tcPr>
            <w:tcW w:w="100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5"/>
                <w:szCs w:val="15"/>
                <w:color w:val="auto"/>
              </w:rPr>
            </w:pPr>
          </w:p>
        </w:tc>
        <w:tc>
          <w:tcPr>
            <w:tcW w:w="4140" w:type="dxa"/>
            <w:vAlign w:val="bottom"/>
            <w:tcBorders>
              <w:top w:val="single" w:sz="8" w:color="auto"/>
            </w:tcBorders>
            <w:gridSpan w:val="3"/>
          </w:tcPr>
          <w:p>
            <w:pPr>
              <w:ind w:left="20"/>
              <w:spacing w:after="0" w:line="182" w:lineRule="exact"/>
              <w:rPr>
                <w:rFonts w:ascii="Times New Roman" w:cs="Times New Roman" w:eastAsia="Times New Roman" w:hAnsi="Times New Roman"/>
                <w:sz w:val="18"/>
                <w:szCs w:val="18"/>
                <w:color w:val="auto"/>
              </w:rPr>
            </w:pPr>
            <w:hyperlink r:id="rId84">
              <w:r>
                <w:rPr>
                  <w:rFonts w:ascii="Times New Roman" w:cs="Times New Roman" w:eastAsia="Times New Roman" w:hAnsi="Times New Roman"/>
                  <w:sz w:val="18"/>
                  <w:szCs w:val="18"/>
                  <w:color w:val="auto"/>
                </w:rPr>
                <w:t>Second Amended and Restated Articles of Incorporation</w:t>
              </w:r>
            </w:hyperlink>
          </w:p>
        </w:tc>
        <w:tc>
          <w:tcPr>
            <w:tcW w:w="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8-K</w:t>
            </w:r>
          </w:p>
        </w:tc>
        <w:tc>
          <w:tcPr>
            <w:tcW w:w="80" w:type="dxa"/>
            <w:vAlign w:val="bottom"/>
          </w:tcPr>
          <w:p>
            <w:pPr>
              <w:spacing w:after="0"/>
              <w:rPr>
                <w:sz w:val="15"/>
                <w:szCs w:val="15"/>
                <w:color w:val="auto"/>
              </w:rPr>
            </w:pPr>
          </w:p>
        </w:tc>
        <w:tc>
          <w:tcPr>
            <w:tcW w:w="1240" w:type="dxa"/>
            <w:vAlign w:val="bottom"/>
            <w:tcBorders>
              <w:top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w w:val="99"/>
              </w:rPr>
              <w:t>001-42829</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1140" w:type="dxa"/>
            <w:vAlign w:val="bottom"/>
            <w:tcBorders>
              <w:top w:val="single" w:sz="8" w:color="auto"/>
            </w:tcBorders>
          </w:tcPr>
          <w:p>
            <w:pPr>
              <w:jc w:val="right"/>
              <w:ind w:right="310"/>
              <w:spacing w:after="0" w:line="182" w:lineRule="exact"/>
              <w:rPr>
                <w:sz w:val="20"/>
                <w:szCs w:val="20"/>
                <w:color w:val="auto"/>
              </w:rPr>
            </w:pPr>
            <w:r>
              <w:rPr>
                <w:rFonts w:ascii="Times New Roman" w:cs="Times New Roman" w:eastAsia="Times New Roman" w:hAnsi="Times New Roman"/>
                <w:sz w:val="18"/>
                <w:szCs w:val="18"/>
                <w:color w:val="auto"/>
                <w:w w:val="98"/>
              </w:rPr>
              <w:t>9/12/2025</w:t>
            </w:r>
          </w:p>
        </w:tc>
        <w:tc>
          <w:tcPr>
            <w:tcW w:w="10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751"/>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tbl>
      <w:tblPr>
        <w:tblLayout w:type="fixed"/>
        <w:tblInd w:w="320" w:type="dxa"/>
        <w:tblCellMar>
          <w:top w:w="0" w:type="dxa"/>
          <w:left w:w="0" w:type="dxa"/>
          <w:bottom w:w="0" w:type="dxa"/>
          <w:right w:w="0" w:type="dxa"/>
        </w:tblCellMar>
      </w:tblPr>
      <w:tr>
        <w:trPr>
          <w:trHeight w:val="227"/>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4480" w:type="dxa"/>
            <w:vAlign w:val="bottom"/>
            <w:gridSpan w:val="17"/>
          </w:tcPr>
          <w:p>
            <w:pPr>
              <w:spacing w:after="0"/>
              <w:rPr>
                <w:rFonts w:ascii="Times New Roman" w:cs="Times New Roman" w:eastAsia="Times New Roman" w:hAnsi="Times New Roman"/>
                <w:sz w:val="18"/>
                <w:szCs w:val="18"/>
                <w:color w:val="auto"/>
              </w:rPr>
            </w:pPr>
            <w:hyperlink r:id="rId86">
              <w:r>
                <w:rPr>
                  <w:rFonts w:ascii="Times New Roman" w:cs="Times New Roman" w:eastAsia="Times New Roman" w:hAnsi="Times New Roman"/>
                  <w:sz w:val="18"/>
                  <w:szCs w:val="18"/>
                  <w:color w:val="auto"/>
                </w:rPr>
                <w:t xml:space="preserve">Amended and Restated Bylaws </w:t>
              </w:r>
            </w:hyperlink>
            <w:r>
              <w:rPr>
                <w:rFonts w:ascii="Times New Roman" w:cs="Times New Roman" w:eastAsia="Times New Roman" w:hAnsi="Times New Roman"/>
                <w:sz w:val="18"/>
                <w:szCs w:val="18"/>
                <w:color w:val="auto"/>
              </w:rPr>
              <w:t>of Figure Technology</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r>
      <w:tr>
        <w:trPr>
          <w:trHeight w:val="205"/>
        </w:trPr>
        <w:tc>
          <w:tcPr>
            <w:tcW w:w="800" w:type="dxa"/>
            <w:vAlign w:val="bottom"/>
          </w:tcPr>
          <w:p>
            <w:pPr>
              <w:spacing w:after="0"/>
              <w:rPr>
                <w:sz w:val="17"/>
                <w:szCs w:val="17"/>
                <w:color w:val="auto"/>
              </w:rPr>
            </w:pPr>
          </w:p>
        </w:tc>
        <w:tc>
          <w:tcPr>
            <w:tcW w:w="2260" w:type="dxa"/>
            <w:vAlign w:val="bottom"/>
            <w:tcBorders>
              <w:top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Solutions, Inc.</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194"/>
        </w:trPr>
        <w:tc>
          <w:tcPr>
            <w:tcW w:w="800" w:type="dxa"/>
            <w:vAlign w:val="bottom"/>
          </w:tcPr>
          <w:p>
            <w:pPr>
              <w:jc w:val="right"/>
              <w:ind w:right="50"/>
              <w:spacing w:after="0" w:line="174" w:lineRule="exact"/>
              <w:rPr>
                <w:sz w:val="20"/>
                <w:szCs w:val="20"/>
                <w:color w:val="auto"/>
              </w:rPr>
            </w:pPr>
            <w:r>
              <w:rPr>
                <w:rFonts w:ascii="Times New Roman" w:cs="Times New Roman" w:eastAsia="Times New Roman" w:hAnsi="Times New Roman"/>
                <w:sz w:val="18"/>
                <w:szCs w:val="18"/>
                <w:color w:val="auto"/>
              </w:rPr>
              <w:t>4.1</w:t>
            </w:r>
          </w:p>
        </w:tc>
        <w:tc>
          <w:tcPr>
            <w:tcW w:w="3180" w:type="dxa"/>
            <w:vAlign w:val="bottom"/>
            <w:tcBorders>
              <w:bottom w:val="single" w:sz="8" w:color="auto"/>
            </w:tcBorders>
            <w:gridSpan w:val="5"/>
          </w:tcPr>
          <w:p>
            <w:pPr>
              <w:spacing w:after="0" w:line="174" w:lineRule="exact"/>
              <w:rPr>
                <w:rFonts w:ascii="Times New Roman" w:cs="Times New Roman" w:eastAsia="Times New Roman" w:hAnsi="Times New Roman"/>
                <w:sz w:val="18"/>
                <w:szCs w:val="18"/>
                <w:color w:val="auto"/>
                <w:w w:val="99"/>
              </w:rPr>
            </w:pPr>
            <w:hyperlink r:id="rId87">
              <w:r>
                <w:rPr>
                  <w:rFonts w:ascii="Times New Roman" w:cs="Times New Roman" w:eastAsia="Times New Roman" w:hAnsi="Times New Roman"/>
                  <w:sz w:val="18"/>
                  <w:szCs w:val="18"/>
                  <w:color w:val="auto"/>
                  <w:w w:val="99"/>
                </w:rPr>
                <w:t>Form of Class A Common Stock Certificate</w:t>
              </w:r>
            </w:hyperlink>
          </w:p>
        </w:tc>
        <w:tc>
          <w:tcPr>
            <w:tcW w:w="1300" w:type="dxa"/>
            <w:vAlign w:val="bottom"/>
            <w:gridSpan w:val="12"/>
          </w:tcPr>
          <w:p>
            <w:pPr>
              <w:spacing w:after="0"/>
              <w:rPr>
                <w:sz w:val="16"/>
                <w:szCs w:val="16"/>
                <w:color w:val="auto"/>
              </w:rPr>
            </w:pPr>
          </w:p>
        </w:tc>
        <w:tc>
          <w:tcPr>
            <w:tcW w:w="520" w:type="dxa"/>
            <w:vAlign w:val="bottom"/>
          </w:tcPr>
          <w:p>
            <w:pPr>
              <w:ind w:left="80"/>
              <w:spacing w:after="0" w:line="174" w:lineRule="exact"/>
              <w:rPr>
                <w:sz w:val="20"/>
                <w:szCs w:val="20"/>
                <w:color w:val="auto"/>
              </w:rPr>
            </w:pPr>
            <w:r>
              <w:rPr>
                <w:rFonts w:ascii="Times New Roman" w:cs="Times New Roman" w:eastAsia="Times New Roman" w:hAnsi="Times New Roman"/>
                <w:sz w:val="18"/>
                <w:szCs w:val="18"/>
                <w:color w:val="auto"/>
                <w:w w:val="97"/>
              </w:rPr>
              <w:t>S-1/A</w:t>
            </w:r>
          </w:p>
        </w:tc>
      </w:tr>
      <w:tr>
        <w:trPr>
          <w:trHeight w:val="250"/>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3160" w:type="dxa"/>
            <w:vAlign w:val="bottom"/>
            <w:tcBorders>
              <w:bottom w:val="single" w:sz="8" w:color="auto"/>
            </w:tcBorders>
            <w:gridSpan w:val="4"/>
          </w:tcPr>
          <w:p>
            <w:pPr>
              <w:spacing w:after="0"/>
              <w:rPr>
                <w:rFonts w:ascii="Times New Roman" w:cs="Times New Roman" w:eastAsia="Times New Roman" w:hAnsi="Times New Roman"/>
                <w:sz w:val="18"/>
                <w:szCs w:val="18"/>
                <w:color w:val="auto"/>
                <w:w w:val="99"/>
              </w:rPr>
            </w:pPr>
            <w:hyperlink r:id="rId88">
              <w:r>
                <w:rPr>
                  <w:rFonts w:ascii="Times New Roman" w:cs="Times New Roman" w:eastAsia="Times New Roman" w:hAnsi="Times New Roman"/>
                  <w:sz w:val="18"/>
                  <w:szCs w:val="18"/>
                  <w:color w:val="auto"/>
                  <w:w w:val="99"/>
                </w:rPr>
                <w:t>Form of Class B Common Stock Certificate</w:t>
              </w:r>
            </w:hyperlink>
          </w:p>
        </w:tc>
        <w:tc>
          <w:tcPr>
            <w:tcW w:w="1320" w:type="dxa"/>
            <w:vAlign w:val="bottom"/>
            <w:gridSpan w:val="13"/>
          </w:tcPr>
          <w:p>
            <w:pPr>
              <w:spacing w:after="0"/>
              <w:rPr>
                <w:sz w:val="21"/>
                <w:szCs w:val="21"/>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S-1/A</w:t>
            </w:r>
          </w:p>
        </w:tc>
      </w:tr>
      <w:tr>
        <w:trPr>
          <w:trHeight w:val="250"/>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4480" w:type="dxa"/>
            <w:vAlign w:val="bottom"/>
            <w:gridSpan w:val="17"/>
          </w:tcPr>
          <w:p>
            <w:pPr>
              <w:spacing w:after="0"/>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Assignment, Assumption and Amendment Agreement, dated</w:t>
              </w:r>
            </w:hyperlink>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7"/>
              </w:rPr>
              <w:t>S-1/A</w:t>
            </w:r>
          </w:p>
        </w:tc>
      </w:tr>
      <w:tr>
        <w:trPr>
          <w:trHeight w:val="156"/>
        </w:trPr>
        <w:tc>
          <w:tcPr>
            <w:tcW w:w="800" w:type="dxa"/>
            <w:vAlign w:val="bottom"/>
          </w:tcPr>
          <w:p>
            <w:pPr>
              <w:spacing w:after="0"/>
              <w:rPr>
                <w:sz w:val="13"/>
                <w:szCs w:val="13"/>
                <w:color w:val="auto"/>
              </w:rPr>
            </w:pPr>
          </w:p>
        </w:tc>
        <w:tc>
          <w:tcPr>
            <w:tcW w:w="4380" w:type="dxa"/>
            <w:vAlign w:val="bottom"/>
            <w:tcBorders>
              <w:top w:val="single" w:sz="8" w:color="auto"/>
            </w:tcBorders>
            <w:gridSpan w:val="16"/>
          </w:tcPr>
          <w:p>
            <w:pPr>
              <w:spacing w:after="0" w:line="156" w:lineRule="exact"/>
              <w:rPr>
                <w:rFonts w:ascii="Times New Roman" w:cs="Times New Roman" w:eastAsia="Times New Roman" w:hAnsi="Times New Roman"/>
                <w:sz w:val="18"/>
                <w:szCs w:val="18"/>
                <w:color w:val="auto"/>
              </w:rPr>
            </w:pPr>
            <w:hyperlink r:id="rId89">
              <w:r>
                <w:rPr>
                  <w:rFonts w:ascii="Times New Roman" w:cs="Times New Roman" w:eastAsia="Times New Roman" w:hAnsi="Times New Roman"/>
                  <w:sz w:val="18"/>
                  <w:szCs w:val="18"/>
                  <w:color w:val="auto"/>
                </w:rPr>
                <w:t>as of August 29, 2025, by and among FT Intermediate, Inc.,</w:t>
              </w:r>
            </w:hyperlink>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9"/>
        </w:trPr>
        <w:tc>
          <w:tcPr>
            <w:tcW w:w="800" w:type="dxa"/>
            <w:vAlign w:val="bottom"/>
          </w:tcPr>
          <w:p>
            <w:pPr>
              <w:spacing w:after="0"/>
              <w:rPr>
                <w:sz w:val="14"/>
                <w:szCs w:val="14"/>
                <w:color w:val="auto"/>
              </w:rPr>
            </w:pPr>
          </w:p>
        </w:tc>
        <w:tc>
          <w:tcPr>
            <w:tcW w:w="4320" w:type="dxa"/>
            <w:vAlign w:val="bottom"/>
            <w:tcBorders>
              <w:top w:val="single" w:sz="8" w:color="auto"/>
            </w:tcBorders>
            <w:gridSpan w:val="15"/>
          </w:tcPr>
          <w:p>
            <w:pPr>
              <w:spacing w:after="0" w:line="169" w:lineRule="exact"/>
              <w:rPr>
                <w:rFonts w:ascii="Times New Roman" w:cs="Times New Roman" w:eastAsia="Times New Roman" w:hAnsi="Times New Roman"/>
                <w:sz w:val="18"/>
                <w:szCs w:val="18"/>
                <w:color w:val="auto"/>
                <w:w w:val="99"/>
              </w:rPr>
            </w:pPr>
            <w:hyperlink r:id="rId89">
              <w:r>
                <w:rPr>
                  <w:rFonts w:ascii="Times New Roman" w:cs="Times New Roman" w:eastAsia="Times New Roman" w:hAnsi="Times New Roman"/>
                  <w:sz w:val="18"/>
                  <w:szCs w:val="18"/>
                  <w:color w:val="auto"/>
                  <w:w w:val="99"/>
                </w:rPr>
                <w:t>Figure Markets Holdings, Inc. and J. Digital 6 Cayman Ltd.</w:t>
              </w:r>
            </w:hyperlink>
          </w:p>
        </w:tc>
        <w:tc>
          <w:tcPr>
            <w:tcW w:w="16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r>
      <w:tr>
        <w:trPr>
          <w:trHeight w:val="209"/>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3700" w:type="dxa"/>
            <w:vAlign w:val="bottom"/>
            <w:tcBorders>
              <w:top w:val="single" w:sz="8" w:color="auto"/>
              <w:bottom w:val="single" w:sz="8" w:color="auto"/>
            </w:tcBorders>
            <w:gridSpan w:val="8"/>
          </w:tcPr>
          <w:p>
            <w:pPr>
              <w:spacing w:after="0" w:line="196" w:lineRule="exact"/>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Form of Certificate of Designation for the Series A</w:t>
              </w:r>
            </w:hyperlink>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gridSpan w:val="3"/>
          </w:tcPr>
          <w:p>
            <w:pPr>
              <w:spacing w:after="0"/>
              <w:rPr>
                <w:sz w:val="18"/>
                <w:szCs w:val="18"/>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r>
      <w:tr>
        <w:trPr>
          <w:trHeight w:val="156"/>
        </w:trPr>
        <w:tc>
          <w:tcPr>
            <w:tcW w:w="800" w:type="dxa"/>
            <w:vAlign w:val="bottom"/>
          </w:tcPr>
          <w:p>
            <w:pPr>
              <w:spacing w:after="0"/>
              <w:rPr>
                <w:sz w:val="13"/>
                <w:szCs w:val="13"/>
                <w:color w:val="auto"/>
              </w:rPr>
            </w:pPr>
          </w:p>
        </w:tc>
        <w:tc>
          <w:tcPr>
            <w:tcW w:w="3700" w:type="dxa"/>
            <w:vAlign w:val="bottom"/>
            <w:gridSpan w:val="8"/>
          </w:tcPr>
          <w:p>
            <w:pPr>
              <w:spacing w:after="0" w:line="156" w:lineRule="exact"/>
              <w:rPr>
                <w:rFonts w:ascii="Times New Roman" w:cs="Times New Roman" w:eastAsia="Times New Roman" w:hAnsi="Times New Roman"/>
                <w:sz w:val="18"/>
                <w:szCs w:val="18"/>
                <w:color w:val="auto"/>
              </w:rPr>
            </w:pPr>
            <w:hyperlink r:id="rId90">
              <w:r>
                <w:rPr>
                  <w:rFonts w:ascii="Times New Roman" w:cs="Times New Roman" w:eastAsia="Times New Roman" w:hAnsi="Times New Roman"/>
                  <w:sz w:val="18"/>
                  <w:szCs w:val="18"/>
                  <w:color w:val="auto"/>
                </w:rPr>
                <w:t>Blockchain Common Stock</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23"/>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36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Amended and Restated 2025 Incentive Award Plan</w:t>
            </w:r>
          </w:p>
        </w:tc>
        <w:tc>
          <w:tcPr>
            <w:tcW w:w="800" w:type="dxa"/>
            <w:vAlign w:val="bottom"/>
            <w:gridSpan w:val="10"/>
          </w:tcPr>
          <w:p>
            <w:pPr>
              <w:spacing w:after="0"/>
              <w:rPr>
                <w:sz w:val="19"/>
                <w:szCs w:val="19"/>
                <w:color w:val="auto"/>
              </w:rPr>
            </w:pPr>
          </w:p>
        </w:tc>
        <w:tc>
          <w:tcPr>
            <w:tcW w:w="520" w:type="dxa"/>
            <w:vAlign w:val="bottom"/>
          </w:tcPr>
          <w:p>
            <w:pPr>
              <w:spacing w:after="0"/>
              <w:rPr>
                <w:sz w:val="19"/>
                <w:szCs w:val="19"/>
                <w:color w:val="auto"/>
              </w:rPr>
            </w:pPr>
          </w:p>
        </w:tc>
      </w:tr>
      <w:tr>
        <w:trPr>
          <w:trHeight w:val="250"/>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10.2</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Letter Agreement, dated May 14, 2026, among Figure</w:t>
            </w:r>
          </w:p>
        </w:tc>
        <w:tc>
          <w:tcPr>
            <w:tcW w:w="520" w:type="dxa"/>
            <w:vAlign w:val="bottom"/>
          </w:tcPr>
          <w:p>
            <w:pPr>
              <w:spacing w:after="0"/>
              <w:rPr>
                <w:sz w:val="21"/>
                <w:szCs w:val="21"/>
                <w:color w:val="auto"/>
              </w:rPr>
            </w:pPr>
          </w:p>
        </w:tc>
      </w:tr>
      <w:tr>
        <w:trPr>
          <w:trHeight w:val="156"/>
        </w:trPr>
        <w:tc>
          <w:tcPr>
            <w:tcW w:w="800" w:type="dxa"/>
            <w:vAlign w:val="bottom"/>
          </w:tcPr>
          <w:p>
            <w:pPr>
              <w:spacing w:after="0"/>
              <w:rPr>
                <w:sz w:val="13"/>
                <w:szCs w:val="13"/>
                <w:color w:val="auto"/>
              </w:rPr>
            </w:pPr>
          </w:p>
        </w:tc>
        <w:tc>
          <w:tcPr>
            <w:tcW w:w="3260" w:type="dxa"/>
            <w:vAlign w:val="bottom"/>
            <w:tcBorders>
              <w:top w:val="single" w:sz="8" w:color="auto"/>
              <w:bottom w:val="single" w:sz="8" w:color="auto"/>
            </w:tcBorders>
            <w:gridSpan w:val="6"/>
          </w:tcPr>
          <w:p>
            <w:pPr>
              <w:spacing w:after="0" w:line="156" w:lineRule="exact"/>
              <w:rPr>
                <w:sz w:val="20"/>
                <w:szCs w:val="20"/>
                <w:color w:val="auto"/>
              </w:rPr>
            </w:pPr>
            <w:r>
              <w:rPr>
                <w:rFonts w:ascii="Times New Roman" w:cs="Times New Roman" w:eastAsia="Times New Roman" w:hAnsi="Times New Roman"/>
                <w:sz w:val="18"/>
                <w:szCs w:val="18"/>
                <w:color w:val="auto"/>
                <w:w w:val="98"/>
              </w:rPr>
              <w:t>Technology Solutions, Inc. and Todd Stevens</w:t>
            </w:r>
          </w:p>
        </w:tc>
        <w:tc>
          <w:tcPr>
            <w:tcW w:w="640" w:type="dxa"/>
            <w:vAlign w:val="bottom"/>
            <w:tcBorders>
              <w:top w:val="single" w:sz="8" w:color="auto"/>
            </w:tcBorders>
            <w:gridSpan w:val="5"/>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r>
      <w:tr>
        <w:trPr>
          <w:trHeight w:val="223"/>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Rule 13a-14(a)/15d-14(a) Certification of Chief Executive</w:t>
            </w:r>
          </w:p>
        </w:tc>
        <w:tc>
          <w:tcPr>
            <w:tcW w:w="520" w:type="dxa"/>
            <w:vAlign w:val="bottom"/>
          </w:tcPr>
          <w:p>
            <w:pPr>
              <w:spacing w:after="0"/>
              <w:rPr>
                <w:sz w:val="19"/>
                <w:szCs w:val="19"/>
                <w:color w:val="auto"/>
              </w:rPr>
            </w:pPr>
          </w:p>
        </w:tc>
      </w:tr>
      <w:tr>
        <w:trPr>
          <w:trHeight w:val="155"/>
        </w:trPr>
        <w:tc>
          <w:tcPr>
            <w:tcW w:w="800" w:type="dxa"/>
            <w:vAlign w:val="bottom"/>
          </w:tcPr>
          <w:p>
            <w:pPr>
              <w:spacing w:after="0"/>
              <w:rPr>
                <w:sz w:val="13"/>
                <w:szCs w:val="13"/>
                <w:color w:val="auto"/>
              </w:rPr>
            </w:pPr>
          </w:p>
        </w:tc>
        <w:tc>
          <w:tcPr>
            <w:tcW w:w="52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96"/>
              </w:rPr>
              <w:t>Officer</w:t>
            </w:r>
          </w:p>
        </w:tc>
        <w:tc>
          <w:tcPr>
            <w:tcW w:w="3680" w:type="dxa"/>
            <w:vAlign w:val="bottom"/>
            <w:tcBorders>
              <w:top w:val="single" w:sz="8" w:color="auto"/>
            </w:tcBorders>
            <w:gridSpan w:val="12"/>
          </w:tcPr>
          <w:p>
            <w:pPr>
              <w:spacing w:after="0"/>
              <w:rPr>
                <w:sz w:val="13"/>
                <w:szCs w:val="13"/>
                <w:color w:val="auto"/>
              </w:rPr>
            </w:pPr>
          </w:p>
        </w:tc>
        <w:tc>
          <w:tcPr>
            <w:tcW w:w="28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r>
      <w:tr>
        <w:trPr>
          <w:trHeight w:val="223"/>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c>
          <w:tcPr>
            <w:tcW w:w="41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w w:val="99"/>
              </w:rPr>
              <w:t>Rule 13a-14(a)/15d-14(a) Certification of Chief Financial</w:t>
            </w:r>
          </w:p>
        </w:tc>
        <w:tc>
          <w:tcPr>
            <w:tcW w:w="320" w:type="dxa"/>
            <w:vAlign w:val="bottom"/>
            <w:gridSpan w:val="5"/>
          </w:tcPr>
          <w:p>
            <w:pPr>
              <w:spacing w:after="0"/>
              <w:rPr>
                <w:sz w:val="19"/>
                <w:szCs w:val="19"/>
                <w:color w:val="auto"/>
              </w:rPr>
            </w:pPr>
          </w:p>
        </w:tc>
        <w:tc>
          <w:tcPr>
            <w:tcW w:w="520" w:type="dxa"/>
            <w:vAlign w:val="bottom"/>
          </w:tcPr>
          <w:p>
            <w:pPr>
              <w:spacing w:after="0"/>
              <w:rPr>
                <w:sz w:val="19"/>
                <w:szCs w:val="19"/>
                <w:color w:val="auto"/>
              </w:rPr>
            </w:pPr>
          </w:p>
        </w:tc>
      </w:tr>
      <w:tr>
        <w:trPr>
          <w:trHeight w:val="156"/>
        </w:trPr>
        <w:tc>
          <w:tcPr>
            <w:tcW w:w="800" w:type="dxa"/>
            <w:vAlign w:val="bottom"/>
          </w:tcPr>
          <w:p>
            <w:pPr>
              <w:spacing w:after="0"/>
              <w:rPr>
                <w:sz w:val="13"/>
                <w:szCs w:val="13"/>
                <w:color w:val="auto"/>
              </w:rPr>
            </w:pPr>
          </w:p>
        </w:tc>
        <w:tc>
          <w:tcPr>
            <w:tcW w:w="520" w:type="dxa"/>
            <w:vAlign w:val="bottom"/>
            <w:tcBorders>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96"/>
              </w:rPr>
              <w:t>Officer</w:t>
            </w:r>
          </w:p>
        </w:tc>
        <w:tc>
          <w:tcPr>
            <w:tcW w:w="3640" w:type="dxa"/>
            <w:vAlign w:val="bottom"/>
            <w:gridSpan w:val="11"/>
          </w:tcPr>
          <w:p>
            <w:pPr>
              <w:spacing w:after="0"/>
              <w:rPr>
                <w:sz w:val="13"/>
                <w:szCs w:val="13"/>
                <w:color w:val="auto"/>
              </w:rPr>
            </w:pPr>
          </w:p>
        </w:tc>
        <w:tc>
          <w:tcPr>
            <w:tcW w:w="320" w:type="dxa"/>
            <w:vAlign w:val="bottom"/>
            <w:gridSpan w:val="5"/>
          </w:tcPr>
          <w:p>
            <w:pPr>
              <w:spacing w:after="0"/>
              <w:rPr>
                <w:sz w:val="13"/>
                <w:szCs w:val="13"/>
                <w:color w:val="auto"/>
              </w:rPr>
            </w:pPr>
          </w:p>
        </w:tc>
        <w:tc>
          <w:tcPr>
            <w:tcW w:w="520" w:type="dxa"/>
            <w:vAlign w:val="bottom"/>
          </w:tcPr>
          <w:p>
            <w:pPr>
              <w:spacing w:after="0"/>
              <w:rPr>
                <w:sz w:val="13"/>
                <w:szCs w:val="13"/>
                <w:color w:val="auto"/>
              </w:rPr>
            </w:pPr>
          </w:p>
        </w:tc>
      </w:tr>
      <w:tr>
        <w:trPr>
          <w:trHeight w:val="223"/>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32.1</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Section 1350 Certification of Chief Executive Officer</w:t>
            </w:r>
          </w:p>
        </w:tc>
        <w:tc>
          <w:tcPr>
            <w:tcW w:w="520" w:type="dxa"/>
            <w:vAlign w:val="bottom"/>
          </w:tcPr>
          <w:p>
            <w:pPr>
              <w:spacing w:after="0"/>
              <w:rPr>
                <w:sz w:val="19"/>
                <w:szCs w:val="19"/>
                <w:color w:val="auto"/>
              </w:rPr>
            </w:pPr>
          </w:p>
        </w:tc>
      </w:tr>
      <w:tr>
        <w:trPr>
          <w:trHeight w:val="250"/>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w:t>
            </w:r>
          </w:p>
        </w:tc>
        <w:tc>
          <w:tcPr>
            <w:tcW w:w="3820" w:type="dxa"/>
            <w:vAlign w:val="bottom"/>
            <w:tcBorders>
              <w:top w:val="single" w:sz="8" w:color="auto"/>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Section 1350 Certification of Chief Financial Officer</w:t>
            </w:r>
          </w:p>
        </w:tc>
        <w:tc>
          <w:tcPr>
            <w:tcW w:w="40" w:type="dxa"/>
            <w:vAlign w:val="bottom"/>
            <w:tcBorders>
              <w:top w:val="single" w:sz="8" w:color="auto"/>
            </w:tcBorders>
          </w:tcPr>
          <w:p>
            <w:pPr>
              <w:spacing w:after="0"/>
              <w:rPr>
                <w:sz w:val="21"/>
                <w:szCs w:val="21"/>
                <w:color w:val="auto"/>
              </w:rPr>
            </w:pPr>
          </w:p>
        </w:tc>
        <w:tc>
          <w:tcPr>
            <w:tcW w:w="62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r>
      <w:tr>
        <w:trPr>
          <w:trHeight w:val="304"/>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101.INS</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20" w:type="dxa"/>
            <w:vAlign w:val="bottom"/>
          </w:tcPr>
          <w:p>
            <w:pPr>
              <w:spacing w:after="0"/>
              <w:rPr>
                <w:sz w:val="24"/>
                <w:szCs w:val="24"/>
                <w:color w:val="auto"/>
              </w:rPr>
            </w:pPr>
          </w:p>
        </w:tc>
      </w:tr>
      <w:tr>
        <w:trPr>
          <w:trHeight w:val="270"/>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101.SCH</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20" w:type="dxa"/>
            <w:vAlign w:val="bottom"/>
          </w:tcPr>
          <w:p>
            <w:pPr>
              <w:spacing w:after="0"/>
              <w:rPr>
                <w:sz w:val="23"/>
                <w:szCs w:val="23"/>
                <w:color w:val="auto"/>
              </w:rPr>
            </w:pPr>
          </w:p>
        </w:tc>
      </w:tr>
      <w:tr>
        <w:trPr>
          <w:trHeight w:val="216"/>
        </w:trPr>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4"/>
              </w:rPr>
              <w:t>101.CAL</w:t>
            </w: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520" w:type="dxa"/>
            <w:vAlign w:val="bottom"/>
          </w:tcPr>
          <w:p>
            <w:pPr>
              <w:spacing w:after="0"/>
              <w:rPr>
                <w:sz w:val="18"/>
                <w:szCs w:val="18"/>
                <w:color w:val="auto"/>
              </w:rPr>
            </w:pPr>
          </w:p>
        </w:tc>
      </w:tr>
      <w:tr>
        <w:trPr>
          <w:trHeight w:val="225"/>
        </w:trPr>
        <w:tc>
          <w:tcPr>
            <w:tcW w:w="800" w:type="dxa"/>
            <w:vAlign w:val="bottom"/>
          </w:tcPr>
          <w:p>
            <w:pPr>
              <w:spacing w:after="0"/>
              <w:rPr>
                <w:sz w:val="19"/>
                <w:szCs w:val="19"/>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520" w:type="dxa"/>
            <w:vAlign w:val="bottom"/>
          </w:tcPr>
          <w:p>
            <w:pPr>
              <w:spacing w:after="0"/>
              <w:rPr>
                <w:sz w:val="19"/>
                <w:szCs w:val="19"/>
                <w:color w:val="auto"/>
              </w:rPr>
            </w:pPr>
          </w:p>
        </w:tc>
      </w:tr>
      <w:tr>
        <w:trPr>
          <w:trHeight w:val="194"/>
        </w:trPr>
        <w:tc>
          <w:tcPr>
            <w:tcW w:w="8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color w:val="auto"/>
                <w:w w:val="97"/>
              </w:rPr>
              <w:t>101.DEF</w:t>
            </w:r>
          </w:p>
        </w:tc>
        <w:tc>
          <w:tcPr>
            <w:tcW w:w="448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520" w:type="dxa"/>
            <w:vAlign w:val="bottom"/>
          </w:tcPr>
          <w:p>
            <w:pPr>
              <w:spacing w:after="0"/>
              <w:rPr>
                <w:sz w:val="16"/>
                <w:szCs w:val="16"/>
                <w:color w:val="auto"/>
              </w:rPr>
            </w:pPr>
          </w:p>
        </w:tc>
      </w:tr>
      <w:tr>
        <w:trPr>
          <w:trHeight w:val="225"/>
        </w:trPr>
        <w:tc>
          <w:tcPr>
            <w:tcW w:w="800" w:type="dxa"/>
            <w:vAlign w:val="bottom"/>
          </w:tcPr>
          <w:p>
            <w:pPr>
              <w:spacing w:after="0"/>
              <w:rPr>
                <w:sz w:val="19"/>
                <w:szCs w:val="19"/>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520" w:type="dxa"/>
            <w:vAlign w:val="bottom"/>
          </w:tcPr>
          <w:p>
            <w:pPr>
              <w:spacing w:after="0"/>
              <w:rPr>
                <w:sz w:val="19"/>
                <w:szCs w:val="19"/>
                <w:color w:val="auto"/>
              </w:rPr>
            </w:pPr>
          </w:p>
        </w:tc>
      </w:tr>
      <w:tr>
        <w:trPr>
          <w:trHeight w:val="194"/>
        </w:trPr>
        <w:tc>
          <w:tcPr>
            <w:tcW w:w="8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color w:val="auto"/>
                <w:w w:val="94"/>
              </w:rPr>
              <w:t>101.LAB</w:t>
            </w:r>
          </w:p>
        </w:tc>
        <w:tc>
          <w:tcPr>
            <w:tcW w:w="448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520" w:type="dxa"/>
            <w:vAlign w:val="bottom"/>
          </w:tcPr>
          <w:p>
            <w:pPr>
              <w:spacing w:after="0"/>
              <w:rPr>
                <w:sz w:val="16"/>
                <w:szCs w:val="16"/>
                <w:color w:val="auto"/>
              </w:rPr>
            </w:pPr>
          </w:p>
        </w:tc>
      </w:tr>
      <w:tr>
        <w:trPr>
          <w:trHeight w:val="225"/>
        </w:trPr>
        <w:tc>
          <w:tcPr>
            <w:tcW w:w="800" w:type="dxa"/>
            <w:vAlign w:val="bottom"/>
          </w:tcPr>
          <w:p>
            <w:pPr>
              <w:spacing w:after="0"/>
              <w:rPr>
                <w:sz w:val="19"/>
                <w:szCs w:val="19"/>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520" w:type="dxa"/>
            <w:vAlign w:val="bottom"/>
          </w:tcPr>
          <w:p>
            <w:pPr>
              <w:spacing w:after="0"/>
              <w:rPr>
                <w:sz w:val="19"/>
                <w:szCs w:val="19"/>
                <w:color w:val="auto"/>
              </w:rPr>
            </w:pPr>
          </w:p>
        </w:tc>
      </w:tr>
      <w:tr>
        <w:trPr>
          <w:trHeight w:val="194"/>
        </w:trPr>
        <w:tc>
          <w:tcPr>
            <w:tcW w:w="8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color w:val="auto"/>
                <w:w w:val="99"/>
              </w:rPr>
              <w:t>101.PRE</w:t>
            </w:r>
          </w:p>
        </w:tc>
        <w:tc>
          <w:tcPr>
            <w:tcW w:w="448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520" w:type="dxa"/>
            <w:vAlign w:val="bottom"/>
          </w:tcPr>
          <w:p>
            <w:pPr>
              <w:spacing w:after="0"/>
              <w:rPr>
                <w:sz w:val="16"/>
                <w:szCs w:val="16"/>
                <w:color w:val="auto"/>
              </w:rPr>
            </w:pPr>
          </w:p>
        </w:tc>
      </w:tr>
      <w:tr>
        <w:trPr>
          <w:trHeight w:val="234"/>
        </w:trPr>
        <w:tc>
          <w:tcPr>
            <w:tcW w:w="800" w:type="dxa"/>
            <w:vAlign w:val="bottom"/>
          </w:tcPr>
          <w:p>
            <w:pPr>
              <w:spacing w:after="0"/>
              <w:rPr>
                <w:sz w:val="20"/>
                <w:szCs w:val="20"/>
                <w:color w:val="auto"/>
              </w:rPr>
            </w:pPr>
          </w:p>
        </w:tc>
        <w:tc>
          <w:tcPr>
            <w:tcW w:w="44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520" w:type="dxa"/>
            <w:vAlign w:val="bottom"/>
          </w:tcPr>
          <w:p>
            <w:pPr>
              <w:spacing w:after="0"/>
              <w:rPr>
                <w:sz w:val="20"/>
                <w:szCs w:val="20"/>
                <w:color w:val="auto"/>
              </w:rPr>
            </w:pPr>
          </w:p>
        </w:tc>
      </w:tr>
    </w:tbl>
    <w:p>
      <w:pPr>
        <w:ind w:left="1120" w:right="1020" w:hanging="401"/>
        <w:spacing w:after="0" w:line="231" w:lineRule="auto"/>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3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7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14230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001-42829</w:t>
            </w: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9/12/2025</w:t>
            </w:r>
          </w:p>
        </w:tc>
      </w:tr>
      <w:tr>
        <w:trPr>
          <w:trHeight w:val="41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333-289695</w:t>
            </w: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9/2/2025</w:t>
            </w:r>
          </w:p>
        </w:tc>
      </w:tr>
      <w:tr>
        <w:trPr>
          <w:trHeight w:val="27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333-289695</w:t>
            </w: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9/2/2025</w:t>
            </w:r>
          </w:p>
        </w:tc>
      </w:tr>
      <w:tr>
        <w:trPr>
          <w:trHeight w:val="27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333-289695</w:t>
            </w: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4.3</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9/8/2025</w:t>
            </w:r>
          </w:p>
        </w:tc>
      </w:tr>
      <w:tr>
        <w:trPr>
          <w:trHeight w:val="59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333-291591</w:t>
            </w: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w:t>
            </w: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2/11/2026</w:t>
            </w:r>
          </w:p>
        </w:tc>
      </w:tr>
    </w:tbl>
    <w:p>
      <w:pPr>
        <w:spacing w:after="0" w:line="17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6120" w:space="460"/>
            <w:col w:w="3720"/>
          </w:cols>
          <w:pgMar w:left="320" w:top="1101" w:right="127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620" w:val="left"/>
          <w:tab w:leader="none" w:pos="4780" w:val="left"/>
          <w:tab w:leader="none" w:pos="5340" w:val="left"/>
        </w:tabs>
        <w:rPr>
          <w:sz w:val="20"/>
          <w:szCs w:val="20"/>
          <w:color w:val="auto"/>
        </w:rPr>
      </w:pPr>
      <w:r>
        <w:rPr>
          <w:rFonts w:ascii="Times New Roman" w:cs="Times New Roman" w:eastAsia="Times New Roman" w:hAnsi="Times New Roman"/>
          <w:sz w:val="18"/>
          <w:szCs w:val="18"/>
          <w:color w:val="auto"/>
        </w:rPr>
        <w:t>Date:</w:t>
        <w:tab/>
        <w:t>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137160</wp:posOffset>
            </wp:positionV>
            <wp:extent cx="3745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1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Michael Tannenbaum</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620" w:val="left"/>
          <w:tab w:leader="none" w:pos="4780" w:val="left"/>
          <w:tab w:leader="none" w:pos="5340" w:val="left"/>
        </w:tabs>
        <w:rPr>
          <w:sz w:val="20"/>
          <w:szCs w:val="20"/>
          <w:color w:val="auto"/>
        </w:rPr>
      </w:pPr>
      <w:r>
        <w:rPr>
          <w:rFonts w:ascii="Times New Roman" w:cs="Times New Roman" w:eastAsia="Times New Roman" w:hAnsi="Times New Roman"/>
          <w:sz w:val="18"/>
          <w:szCs w:val="18"/>
          <w:color w:val="auto"/>
        </w:rPr>
        <w:t>Date:</w:t>
        <w:tab/>
        <w:t>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Macrina Kgil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137160</wp:posOffset>
            </wp:positionV>
            <wp:extent cx="37458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1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Macrina Kgil</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20"/>
          </w:cols>
          <w:pgMar w:left="320" w:top="1089" w:right="3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FIGURE TECHNOLOGY SOLUTIONS, INC.</w:t>
      </w:r>
    </w:p>
    <w:p>
      <w:pPr>
        <w:spacing w:after="0" w:line="2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2025 INCENTIVE AWARD PLAN</w:t>
      </w: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ARTICLE I. PURPOSE</w:t>
      </w:r>
    </w:p>
    <w:p>
      <w:pPr>
        <w:spacing w:after="0" w:line="220" w:lineRule="exact"/>
        <w:rPr>
          <w:sz w:val="20"/>
          <w:szCs w:val="20"/>
          <w:color w:val="auto"/>
        </w:rPr>
      </w:pPr>
    </w:p>
    <w:p>
      <w:pPr>
        <w:jc w:val="both"/>
        <w:ind w:right="320" w:firstLine="648"/>
        <w:spacing w:after="0" w:line="268" w:lineRule="auto"/>
        <w:rPr>
          <w:sz w:val="20"/>
          <w:szCs w:val="20"/>
          <w:color w:val="auto"/>
        </w:rPr>
      </w:pPr>
      <w:r>
        <w:rPr>
          <w:rFonts w:ascii="Times New Roman" w:cs="Times New Roman" w:eastAsia="Times New Roman" w:hAnsi="Times New Roman"/>
          <w:sz w:val="20"/>
          <w:szCs w:val="20"/>
          <w:color w:val="auto"/>
        </w:rPr>
        <w:t>The Plan’s purpose is to enhance the Company’s ability to attract, retain and motivate persons who make (or are expected to make) important contributions to the Company by providing these individuals with equity ownership opportunities and/or equity-linked compensatory opportunities. Capitalized terms used in the Plan are defined in Article XI.</w:t>
      </w:r>
    </w:p>
    <w:p>
      <w:pPr>
        <w:spacing w:after="0" w:line="15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ARTICLE II. ELIGIBILITY</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Service Providers are eligible to be granted Awards under the Plan, subject to the limitations described herein.</w:t>
      </w:r>
    </w:p>
    <w:p>
      <w:pPr>
        <w:spacing w:after="0" w:line="21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0"/>
          <w:szCs w:val="20"/>
          <w:b w:val="1"/>
          <w:bCs w:val="1"/>
          <w:color w:val="auto"/>
        </w:rPr>
        <w:t>ARTICLE III. ADMINISTRATION AND DELEGATION</w:t>
      </w:r>
    </w:p>
    <w:p>
      <w:pPr>
        <w:spacing w:after="0" w:line="233" w:lineRule="exact"/>
        <w:rPr>
          <w:sz w:val="20"/>
          <w:szCs w:val="20"/>
          <w:color w:val="auto"/>
        </w:rPr>
      </w:pPr>
    </w:p>
    <w:p>
      <w:pPr>
        <w:jc w:val="both"/>
        <w:ind w:right="3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Administration</w:t>
      </w:r>
      <w:r>
        <w:rPr>
          <w:rFonts w:ascii="Times New Roman" w:cs="Times New Roman" w:eastAsia="Times New Roman" w:hAnsi="Times New Roman"/>
          <w:sz w:val="20"/>
          <w:szCs w:val="20"/>
          <w:color w:val="auto"/>
        </w:rPr>
        <w:t>. 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and reconcile inconsistencies in the Plan or any Award Agreement as it deems necessary or appropriate to administer the Plan and any Awards. The Administrator’s determinations under the Plan are in its sole discretion and will be final and binding on all persons having or claiming any interest in the Plan or any Award.</w:t>
      </w:r>
    </w:p>
    <w:p>
      <w:pPr>
        <w:spacing w:after="0" w:line="195" w:lineRule="exact"/>
        <w:rPr>
          <w:sz w:val="20"/>
          <w:szCs w:val="20"/>
          <w:color w:val="auto"/>
        </w:rPr>
      </w:pPr>
    </w:p>
    <w:p>
      <w:pPr>
        <w:jc w:val="both"/>
        <w:ind w:right="3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Appointment of Committees</w:t>
      </w:r>
      <w:r>
        <w:rPr>
          <w:rFonts w:ascii="Times New Roman" w:cs="Times New Roman" w:eastAsia="Times New Roman" w:hAnsi="Times New Roman"/>
          <w:sz w:val="20"/>
          <w:szCs w:val="20"/>
          <w:color w:val="auto"/>
        </w:rPr>
        <w:t xml:space="preserve">. To the extent Applicable Laws permit, the Board or the Administrator may delegate any or all of its powers under the Plan to one or more Committees or one or more committees of directors or officers of the Company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an officer of the Company be delegated the authority to grant Awards to, or amend Awards held by, the following individuals: (a) individuals who are subject to Section 16 of the Exchange Act, or (b) officers of the Company (or Directors) to whom authority to grant or amend Awards has been delegated hereunder. The Board or the Administrator, as applicable, may rescind any such delegation, abolish any such Committee or committee and/or re-vest in itself any previously delegated authority at any time.</w:t>
      </w:r>
    </w:p>
    <w:p>
      <w:pPr>
        <w:spacing w:after="0" w:line="1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STOCK AVAILABLE FOR AWARDS</w:t>
      </w:r>
    </w:p>
    <w:p>
      <w:pPr>
        <w:spacing w:after="0" w:line="207"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Subject to adjustment under Article VIII and the terms of this Article IV, the maximum number of Shares that may be issued pursuant to Awards under the Plan shall be equal to the Overall Share Limit. Shares issued under the Plan may consist of authorized but unissued Shares, Shares purchased on the open market or treasury Shares. As of the Effective Date, the Company will cease granting awards under the Prior Plan; however, Prior Plan Awards will remain subject to the terms of the applicable Prior Plan.</w:t>
      </w:r>
    </w:p>
    <w:p>
      <w:pPr>
        <w:sectPr>
          <w:pgSz w:w="11900" w:h="16838" w:orient="portrait"/>
          <w:cols w:equalWidth="0" w:num="1">
            <w:col w:w="10900"/>
          </w:cols>
          <w:pgMar w:left="660" w:top="114"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320" w:firstLine="648"/>
        <w:spacing w:after="0" w:line="263"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19"/>
          <w:szCs w:val="19"/>
          <w:u w:val="single" w:color="auto"/>
          <w:color w:val="auto"/>
        </w:rPr>
        <w:t>Share Recycling</w:t>
      </w:r>
      <w:r>
        <w:rPr>
          <w:rFonts w:ascii="Times New Roman" w:cs="Times New Roman" w:eastAsia="Times New Roman" w:hAnsi="Times New Roman"/>
          <w:sz w:val="19"/>
          <w:szCs w:val="19"/>
          <w:color w:val="auto"/>
        </w:rPr>
        <w:t>. If all or any part of an Award or Prior Plan Award expires, lapses or is terminated, exchanged for or settled in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 grants under the Plan. In addition, Shares delivered (either by actual delivery or attestation) to the Company by a Participant to satisfy the applicable exercise or purchase price of an Award or Prior Plan Award and/or to satisfy any applicable tax withholding obligation with respect to an Award or Prior Plan Award (including Shares retained by the Company from the Award or Prior Plan Award being exercised or purchased and/or creating the tax obligation) as well as Shares purchased on the open market by the Company with the cash proceeds from the exercise of Options, will, as applicable, become or again be available for Award grants under the Plan. The payment of Dividend Equivalents in cash in conjunction with any outstanding Awards shall not count against the Overall Share Limit. Notwithstanding anything to the contrary contained herein, the following Shares shall not be added to the Shares authorized for grant under Section 4.1 and shall not be available for future grants of Awards: (i) Shares subject to a Stock Appreciation Right that are not issued in connection with the stock settlement of the Stock Appreciation Right on exercise thereof.</w:t>
      </w:r>
    </w:p>
    <w:p>
      <w:pPr>
        <w:spacing w:after="0" w:line="185" w:lineRule="exact"/>
        <w:rPr>
          <w:sz w:val="20"/>
          <w:szCs w:val="20"/>
          <w:color w:val="auto"/>
        </w:rPr>
      </w:pPr>
    </w:p>
    <w:p>
      <w:pPr>
        <w:jc w:val="both"/>
        <w:ind w:right="3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Incentive Stock Option Limitations</w:t>
      </w:r>
      <w:r>
        <w:rPr>
          <w:rFonts w:ascii="Times New Roman" w:cs="Times New Roman" w:eastAsia="Times New Roman" w:hAnsi="Times New Roman"/>
          <w:sz w:val="20"/>
          <w:szCs w:val="20"/>
          <w:color w:val="auto"/>
        </w:rPr>
        <w:t>. Notwithstanding anything to the contrary herein, no more than 213,396,150 Shares may be issued pursuant to the exercise of Incentive Stock Options.</w:t>
      </w:r>
    </w:p>
    <w:p>
      <w:pPr>
        <w:spacing w:after="0" w:line="173"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Substitute Awards</w:t>
      </w:r>
      <w:r>
        <w:rPr>
          <w:rFonts w:ascii="Times New Roman" w:cs="Times New Roman" w:eastAsia="Times New Roman" w:hAnsi="Times New Roman"/>
          <w:sz w:val="20"/>
          <w:szCs w:val="20"/>
          <w:color w:val="auto"/>
        </w:rPr>
        <w:t>. In connection with an entity’s merger or consolidation with the Company or the Company’s acquisition of an entity’s property or stock, the Administrator may grant Awards in substitution for any options or other stock or stock-based awards granted before such merger or consolidation by such entity or its affiliate. Substitute Awards may be granted on such terms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(and Shares subject to such Awards shall not be added to the Shares available for Awards under the Plan as provided above); provided that Awards using such available shares shall not be made after the date awards or grants could have been made under the terms of the pre-existing plan, absent the acquisition or combination, and shall only be made to individuals who were not Employees, Consultants or Directors prior to such acquisition or combination.</w:t>
      </w:r>
    </w:p>
    <w:p>
      <w:pPr>
        <w:spacing w:after="0" w:line="180" w:lineRule="exact"/>
        <w:rPr>
          <w:sz w:val="20"/>
          <w:szCs w:val="20"/>
          <w:color w:val="auto"/>
        </w:rPr>
      </w:pPr>
    </w:p>
    <w:p>
      <w:pPr>
        <w:jc w:val="both"/>
        <w:ind w:right="3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Non-Employee Director Compensation</w:t>
      </w:r>
      <w:r>
        <w:rPr>
          <w:rFonts w:ascii="Times New Roman" w:cs="Times New Roman" w:eastAsia="Times New Roman" w:hAnsi="Times New Roman"/>
          <w:sz w:val="20"/>
          <w:szCs w:val="20"/>
          <w:color w:val="auto"/>
        </w:rPr>
        <w:t>. Notwithstanding any provision to the contrary in the Plan, the Administrator may establish compensation for non-employee Directors from time to time, subject to the limitations in the Plan and the requirements of Applicable Law and/or pursuant to a written nondiscretionary formula established by the Administrator (the “</w:t>
      </w:r>
      <w:r>
        <w:rPr>
          <w:rFonts w:ascii="Times New Roman" w:cs="Times New Roman" w:eastAsia="Times New Roman" w:hAnsi="Times New Roman"/>
          <w:sz w:val="20"/>
          <w:szCs w:val="20"/>
          <w:u w:val="single" w:color="auto"/>
          <w:color w:val="auto"/>
        </w:rPr>
        <w:t>Non-Employee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Director Compensation Policy</w:t>
      </w:r>
      <w:r>
        <w:rPr>
          <w:rFonts w:ascii="Times New Roman" w:cs="Times New Roman" w:eastAsia="Times New Roman" w:hAnsi="Times New Roman"/>
          <w:sz w:val="20"/>
          <w:szCs w:val="20"/>
          <w:color w:val="auto"/>
        </w:rPr>
        <w:t>”). The sum of any cash compensation, or other compensation, and the value</w:t>
      </w:r>
    </w:p>
    <w:p>
      <w:pPr>
        <w:sectPr>
          <w:pgSz w:w="11900" w:h="16838" w:orient="portrait"/>
          <w:cols w:equalWidth="0" w:num="1">
            <w:col w:w="10900"/>
          </w:cols>
          <w:pgMar w:left="660" w:top="11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spacing w:after="0" w:line="253" w:lineRule="auto"/>
        <w:rPr>
          <w:sz w:val="20"/>
          <w:szCs w:val="20"/>
          <w:color w:val="auto"/>
        </w:rPr>
      </w:pPr>
      <w:r>
        <w:rPr>
          <w:rFonts w:ascii="Times New Roman" w:cs="Times New Roman" w:eastAsia="Times New Roman" w:hAnsi="Times New Roman"/>
          <w:sz w:val="20"/>
          <w:szCs w:val="20"/>
          <w:color w:val="auto"/>
        </w:rPr>
        <w:t>(determined as of the grant date in accordance with Financial Accounting Standards Board Accounting Standards Codification Topic 718, or any successor thereto) of Awards granted to a non-employee Director as compensation for services as a non-employee Director during any fiscal year of the Company may not exceed $750,000, increased to $1,000,000 in the fiscal year of a non-employee Director’s initial service as a non-employee Director (the “</w:t>
      </w:r>
      <w:r>
        <w:rPr>
          <w:rFonts w:ascii="Times New Roman" w:cs="Times New Roman" w:eastAsia="Times New Roman" w:hAnsi="Times New Roman"/>
          <w:sz w:val="20"/>
          <w:szCs w:val="20"/>
          <w:b w:val="1"/>
          <w:bCs w:val="1"/>
          <w:i w:val="1"/>
          <w:iCs w:val="1"/>
          <w:color w:val="auto"/>
        </w:rPr>
        <w:t>Director Limit</w:t>
      </w:r>
      <w:r>
        <w:rPr>
          <w:rFonts w:ascii="Times New Roman" w:cs="Times New Roman" w:eastAsia="Times New Roman" w:hAnsi="Times New Roman"/>
          <w:sz w:val="20"/>
          <w:szCs w:val="20"/>
          <w:color w:val="auto"/>
        </w:rPr>
        <w:t>”). The Administrator may make exceptions to the Director Limit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7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STOCK OPTIONS AND STOCK APPRECIATION RIGHTS</w:t>
      </w:r>
    </w:p>
    <w:p>
      <w:pPr>
        <w:spacing w:after="0" w:line="214" w:lineRule="exact"/>
        <w:rPr>
          <w:sz w:val="20"/>
          <w:szCs w:val="20"/>
          <w:color w:val="auto"/>
        </w:rPr>
      </w:pPr>
    </w:p>
    <w:p>
      <w:pPr>
        <w:jc w:val="both"/>
        <w:ind w:right="3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Administrator may grant Options or Stock Appreciation Rights to Service Providers subject to the limitations in the Plan, including any limitations in the Plan that apply to Incentive Stock Options.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or a combination of the two as the Administrator may determine or provide in the Award Agreement.</w:t>
      </w:r>
    </w:p>
    <w:p>
      <w:pPr>
        <w:spacing w:after="0" w:line="182"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xml:space="preserve">. The Administrator will establish each Option’s and Stock Appreciation Right’s exercise price and specify the exercise price in the Award Agreement. The exercise price will not be less than 100% of the Fair Market Value on the grant date of the Option (subject to Section 5.6) or Stock Appreciation Right. Notwithstanding the foregoing, in the case of an Option or a Stock Appreciation Right that is a Substitute Award, the exercise price per share of the Shares subject to such Option or Stock Appreciation Right, as applicable, may be less than the Fair Market Value per share on the date of grant;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exercise price of any Substitute Award shall be determined in accordance with the applicable requirements of Sections 424 and 409A of the Code.</w:t>
      </w:r>
    </w:p>
    <w:p>
      <w:pPr>
        <w:spacing w:after="0" w:line="179" w:lineRule="exact"/>
        <w:rPr>
          <w:sz w:val="20"/>
          <w:szCs w:val="20"/>
          <w:color w:val="auto"/>
        </w:rPr>
      </w:pPr>
    </w:p>
    <w:p>
      <w:pPr>
        <w:jc w:val="both"/>
        <w:ind w:left="80" w:right="320" w:firstLine="567"/>
        <w:spacing w:after="0" w:line="250"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Duration</w:t>
      </w:r>
      <w:r>
        <w:rPr>
          <w:rFonts w:ascii="Times New Roman" w:cs="Times New Roman" w:eastAsia="Times New Roman" w:hAnsi="Times New Roman"/>
          <w:sz w:val="20"/>
          <w:szCs w:val="20"/>
          <w:color w:val="auto"/>
        </w:rPr>
        <w:t xml:space="preserve">. Each Option or Stock Appreciation Right will be exercisable at such times and as specified in the Award Agreement, provided that, subject to Section 5.6, the term of an Option or Stock Appreciation Right will not exceed ten years. Notwithstanding the foregoing and unless determined otherwise by the Company, in the event that on the last business day of the term of an Option or Stock Appreciation Right (other than an Incentive Stock Option) (i) the exercise of the Option or Stock Appreciation Right is prohibited by Applicable Law, as determined by the Company, or (ii)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30 days after the end of the legal prohibition, black-out period or lock-up agreement, as determined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in no event shall the extension last beyond the ten year term of the applicable Option or Stock Appreciation Right. Unless otherwise determined by the Administrator in the Award Agreement or by action of the Administrator following the grant of the Option or Stock Appreciation Right,</w:t>
      </w:r>
    </w:p>
    <w:p>
      <w:pPr>
        <w:spacing w:after="0" w:line="200" w:lineRule="exact"/>
        <w:rPr>
          <w:sz w:val="20"/>
          <w:szCs w:val="20"/>
          <w:color w:val="auto"/>
        </w:rPr>
      </w:pPr>
    </w:p>
    <w:p>
      <w:pPr>
        <w:jc w:val="both"/>
        <w:ind w:right="340" w:firstLine="964"/>
        <w:spacing w:after="0" w:line="261" w:lineRule="auto"/>
        <w:tabs>
          <w:tab w:leader="none" w:pos="121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an Option or Stock Appreciation Right which is unexercisable at a Participant’s Termination of Service shall thereafter become exercisable and (ii) the portion of an Option or Stock Appreciation Right that is unexercisable at a Participant’s Termination of Service shall</w:t>
      </w:r>
    </w:p>
    <w:p>
      <w:pPr>
        <w:sectPr>
          <w:pgSz w:w="11900" w:h="16838" w:orient="portrait"/>
          <w:cols w:equalWidth="0" w:num="1">
            <w:col w:w="10900"/>
          </w:cols>
          <w:pgMar w:left="660" w:top="114"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8" w:right="320"/>
        <w:spacing w:after="0" w:line="253" w:lineRule="auto"/>
        <w:rPr>
          <w:sz w:val="20"/>
          <w:szCs w:val="20"/>
          <w:color w:val="auto"/>
        </w:rPr>
      </w:pPr>
      <w:r>
        <w:rPr>
          <w:rFonts w:ascii="Times New Roman" w:cs="Times New Roman" w:eastAsia="Times New Roman" w:hAnsi="Times New Roman"/>
          <w:sz w:val="20"/>
          <w:szCs w:val="20"/>
          <w:color w:val="auto"/>
        </w:rPr>
        <w:t>automatically expire sixty (60) days following such Termination of Service. Notwithstanding the foregoing, to the extent permitted under Applicable Laws, if the Participant, prior to the end of the term of an Option or Stock Appreciation Right, violates the non-competition, non-solicitation, confidentiality or other similar restrictive covenant provisions of any employment contract, confidentiality and nondisclosure agreement or other agreement between the Participant and the Company or any of its Subsidiaries, the right of the Participant and the Participant’s transferees to exercise any Option or Stock Appreciation Right issued to the Participant shall terminate immediately upon such violation, unless the Company otherwise determines.</w:t>
      </w:r>
    </w:p>
    <w:p>
      <w:pPr>
        <w:spacing w:after="0" w:line="192" w:lineRule="exact"/>
        <w:rPr>
          <w:sz w:val="20"/>
          <w:szCs w:val="20"/>
          <w:color w:val="auto"/>
        </w:rPr>
      </w:pPr>
    </w:p>
    <w:p>
      <w:pPr>
        <w:jc w:val="both"/>
        <w:ind w:left="8" w:right="320" w:firstLine="972"/>
        <w:spacing w:after="0" w:line="253"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 Options and Stock Appreciation Rights may be exercised by delivering to the Company a written notice of exercise, in a form the Administrator approves (which may be electronic), signed by the person authorized to exercise the Option or Stock Appreciation Right, together with, as applicable, payment in full (i) as specified in Section 5.5 for the number of Shares for which the Award is exercised and (ii) as specified in Section 9.5 for any applicable taxes. Unless the Administrator otherwise determines, an Option or Stock Appreciation Right may not be exercised for a fraction of a Share.</w:t>
      </w:r>
    </w:p>
    <w:p>
      <w:pPr>
        <w:spacing w:after="0" w:line="192"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Payment Upon Exercise</w:t>
      </w:r>
      <w:r>
        <w:rPr>
          <w:rFonts w:ascii="Times New Roman" w:cs="Times New Roman" w:eastAsia="Times New Roman" w:hAnsi="Times New Roman"/>
          <w:sz w:val="20"/>
          <w:szCs w:val="20"/>
          <w:color w:val="auto"/>
        </w:rPr>
        <w:t>. Subject to Section 10.8, any Company insider trading policy (including blackout periods) and</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20"/>
          <w:szCs w:val="20"/>
          <w:color w:val="auto"/>
        </w:rPr>
        <w:t>Applicable Laws, the exercise price of an Option must be paid by:</w:t>
      </w:r>
    </w:p>
    <w:p>
      <w:pPr>
        <w:spacing w:after="0" w:line="207" w:lineRule="exact"/>
        <w:rPr>
          <w:sz w:val="20"/>
          <w:szCs w:val="20"/>
          <w:color w:val="auto"/>
        </w:rPr>
      </w:pPr>
    </w:p>
    <w:p>
      <w:pPr>
        <w:ind w:left="8" w:right="320" w:firstLine="964"/>
        <w:spacing w:after="0" w:line="283" w:lineRule="auto"/>
        <w:tabs>
          <w:tab w:leader="none" w:pos="1618"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46" w:lineRule="exact"/>
        <w:rPr>
          <w:rFonts w:ascii="Times New Roman" w:cs="Times New Roman" w:eastAsia="Times New Roman" w:hAnsi="Times New Roman"/>
          <w:sz w:val="20"/>
          <w:szCs w:val="20"/>
          <w:color w:val="auto"/>
        </w:rPr>
      </w:pPr>
    </w:p>
    <w:p>
      <w:pPr>
        <w:jc w:val="both"/>
        <w:ind w:left="8" w:right="320" w:firstLine="964"/>
        <w:spacing w:after="0" w:line="267" w:lineRule="auto"/>
        <w:tabs>
          <w:tab w:leader="none" w:pos="1616"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there is a public market for Shares at the time of exercise, unless the Company otherwise determines, (A) delivery (including electronically or telephonically to the extent permitted by the Company) of an irrevocable and unconditional undertaking by a broker acceptable to the Company to deliver promptly to the Company sufficient funds to pay the exercise price, or</w:t>
      </w:r>
    </w:p>
    <w:p>
      <w:pPr>
        <w:spacing w:after="0" w:line="1" w:lineRule="exact"/>
        <w:rPr>
          <w:rFonts w:ascii="Times New Roman" w:cs="Times New Roman" w:eastAsia="Times New Roman" w:hAnsi="Times New Roman"/>
          <w:sz w:val="19"/>
          <w:szCs w:val="19"/>
          <w:color w:val="auto"/>
        </w:rPr>
      </w:pPr>
    </w:p>
    <w:p>
      <w:pPr>
        <w:jc w:val="both"/>
        <w:ind w:left="8" w:right="340" w:hanging="8"/>
        <w:spacing w:after="0" w:line="253" w:lineRule="auto"/>
        <w:tabs>
          <w:tab w:leader="none" w:pos="327"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88" w:lineRule="exact"/>
        <w:rPr>
          <w:rFonts w:ascii="Times New Roman" w:cs="Times New Roman" w:eastAsia="Times New Roman" w:hAnsi="Times New Roman"/>
          <w:sz w:val="20"/>
          <w:szCs w:val="20"/>
          <w:color w:val="auto"/>
        </w:rPr>
      </w:pPr>
    </w:p>
    <w:p>
      <w:pPr>
        <w:ind w:left="8" w:right="340" w:firstLine="964"/>
        <w:spacing w:after="0" w:line="269" w:lineRule="auto"/>
        <w:tabs>
          <w:tab w:leader="none" w:pos="161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attestation) of Shares owned by the Participant valued at their Fair Market Value;</w:t>
      </w:r>
    </w:p>
    <w:p>
      <w:pPr>
        <w:spacing w:after="0" w:line="172" w:lineRule="exact"/>
        <w:rPr>
          <w:rFonts w:ascii="Times New Roman" w:cs="Times New Roman" w:eastAsia="Times New Roman" w:hAnsi="Times New Roman"/>
          <w:sz w:val="20"/>
          <w:szCs w:val="20"/>
          <w:color w:val="auto"/>
        </w:rPr>
      </w:pPr>
    </w:p>
    <w:p>
      <w:pPr>
        <w:ind w:left="8" w:right="320" w:firstLine="964"/>
        <w:spacing w:after="0" w:line="269" w:lineRule="auto"/>
        <w:tabs>
          <w:tab w:leader="none" w:pos="1616"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then issuable upon the Option’s exercise valued at their Fair Market Value on the exercise date;</w:t>
      </w:r>
    </w:p>
    <w:p>
      <w:pPr>
        <w:spacing w:after="0" w:line="172" w:lineRule="exact"/>
        <w:rPr>
          <w:rFonts w:ascii="Times New Roman" w:cs="Times New Roman" w:eastAsia="Times New Roman" w:hAnsi="Times New Roman"/>
          <w:sz w:val="20"/>
          <w:szCs w:val="20"/>
          <w:color w:val="auto"/>
        </w:rPr>
      </w:pPr>
    </w:p>
    <w:p>
      <w:pPr>
        <w:ind w:left="8" w:right="320" w:firstLine="964"/>
        <w:spacing w:after="0" w:line="283" w:lineRule="auto"/>
        <w:tabs>
          <w:tab w:leader="none" w:pos="161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 promissory note or any other property that the Administrator determines is good and valuable consideration; or</w:t>
      </w:r>
    </w:p>
    <w:p>
      <w:pPr>
        <w:spacing w:after="0" w:line="146" w:lineRule="exact"/>
        <w:rPr>
          <w:rFonts w:ascii="Times New Roman" w:cs="Times New Roman" w:eastAsia="Times New Roman" w:hAnsi="Times New Roman"/>
          <w:sz w:val="20"/>
          <w:szCs w:val="20"/>
          <w:color w:val="auto"/>
        </w:rPr>
      </w:pPr>
    </w:p>
    <w:p>
      <w:pPr>
        <w:ind w:left="1608" w:hanging="636"/>
        <w:spacing w:after="0"/>
        <w:tabs>
          <w:tab w:leader="none" w:pos="160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Company, any combination of the above payment forms approved by the</w:t>
      </w:r>
    </w:p>
    <w:p>
      <w:pPr>
        <w:spacing w:after="0" w:line="28" w:lineRule="exact"/>
        <w:rPr>
          <w:rFonts w:ascii="Times New Roman" w:cs="Times New Roman" w:eastAsia="Times New Roman" w:hAnsi="Times New Roman"/>
          <w:sz w:val="20"/>
          <w:szCs w:val="20"/>
          <w:color w:val="auto"/>
        </w:rPr>
      </w:pPr>
    </w:p>
    <w:p>
      <w:pPr>
        <w:ind w:left="8"/>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w:t>
      </w:r>
    </w:p>
    <w:p>
      <w:pPr>
        <w:spacing w:after="0" w:line="200" w:lineRule="exact"/>
        <w:rPr>
          <w:sz w:val="20"/>
          <w:szCs w:val="20"/>
          <w:color w:val="auto"/>
        </w:rPr>
      </w:pPr>
    </w:p>
    <w:p>
      <w:pPr>
        <w:jc w:val="both"/>
        <w:ind w:left="8" w:right="320" w:firstLine="648"/>
        <w:spacing w:after="0" w:line="257"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u w:val="single" w:color="auto"/>
          <w:color w:val="auto"/>
        </w:rPr>
        <w:t>Additional Terms of Incentive Stock Options</w:t>
      </w:r>
      <w:r>
        <w:rPr>
          <w:rFonts w:ascii="Times New Roman" w:cs="Times New Roman" w:eastAsia="Times New Roman" w:hAnsi="Times New Roman"/>
          <w:sz w:val="20"/>
          <w:szCs w:val="20"/>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w:t>
      </w:r>
    </w:p>
    <w:p>
      <w:pPr>
        <w:sectPr>
          <w:pgSz w:w="11900" w:h="16838" w:orient="portrait"/>
          <w:cols w:equalWidth="0" w:num="1">
            <w:col w:w="10908"/>
          </w:cols>
          <w:pgMar w:left="652" w:top="11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spacing w:after="0" w:line="252" w:lineRule="auto"/>
        <w:rPr>
          <w:sz w:val="20"/>
          <w:szCs w:val="20"/>
          <w:color w:val="auto"/>
        </w:rPr>
      </w:pPr>
      <w:r>
        <w:rPr>
          <w:rFonts w:ascii="Times New Roman" w:cs="Times New Roman" w:eastAsia="Times New Roman" w:hAnsi="Times New Roman"/>
          <w:sz w:val="20"/>
          <w:szCs w:val="20"/>
          <w:color w:val="auto"/>
        </w:rPr>
        <w:t>five years. All Incentive Stock Options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(i) two years from the grant date of the Option or (ii)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Option.</w:t>
      </w:r>
    </w:p>
    <w:p>
      <w:pPr>
        <w:spacing w:after="0" w:line="1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RESTRICTED STOCK; RESTRICTED STOCK UNITS</w:t>
      </w:r>
    </w:p>
    <w:p>
      <w:pPr>
        <w:spacing w:after="0" w:line="200"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Administrator may grant Restricted Stock, or the right to purchase Restricted Stock, to any Service Provider, subject to the Company’s right to repurchase all or part of such Shares at their issue price or other stated or formula price from the Participant (or to require forfeiture of such Shares) if conditions the Administrator specifies in the Award Agreement are not satisfied before the end of the applicable restriction period or periods that the Administrator establishes for such Award. In addition, the Administrator may grant to Service Providers Restricted Stock Units, which may be subject to vesting and forfeiture conditions during the applicable restriction period or periods, as set forth in an Award Agreement.</w:t>
      </w:r>
    </w:p>
    <w:p>
      <w:pPr>
        <w:spacing w:after="0" w:line="192"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Restricted Stock</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right="320" w:firstLine="1288"/>
        <w:spacing w:after="0" w:line="261" w:lineRule="auto"/>
        <w:tabs>
          <w:tab w:leader="none" w:pos="161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Stockholders</w:t>
      </w:r>
      <w:r>
        <w:rPr>
          <w:rFonts w:ascii="Times New Roman" w:cs="Times New Roman" w:eastAsia="Times New Roman" w:hAnsi="Times New Roman"/>
          <w:sz w:val="20"/>
          <w:szCs w:val="20"/>
          <w:color w:val="auto"/>
        </w:rPr>
        <w:t>. Subject to the Company’s right of repurchase as described above, upon issuance of Restricted Stock, the Participant shall have, unless otherwise provided by the Administrator, all of the rights of a stockholder with respect to said Shares, subject to the restrictions in the Plan.</w:t>
      </w:r>
    </w:p>
    <w:p>
      <w:pPr>
        <w:spacing w:after="0" w:line="167" w:lineRule="exact"/>
        <w:rPr>
          <w:rFonts w:ascii="Times New Roman" w:cs="Times New Roman" w:eastAsia="Times New Roman" w:hAnsi="Times New Roman"/>
          <w:sz w:val="20"/>
          <w:szCs w:val="20"/>
          <w:color w:val="auto"/>
        </w:rPr>
      </w:pPr>
    </w:p>
    <w:p>
      <w:pPr>
        <w:jc w:val="both"/>
        <w:ind w:right="320" w:firstLine="1288"/>
        <w:spacing w:after="0" w:line="252" w:lineRule="auto"/>
        <w:tabs>
          <w:tab w:leader="none" w:pos="160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Participants holding Restricted Stock will be entitled to all ordinary cash dividends paid with respect to such Shares, unless the Administrator provides otherwise in the Award Agreement. In addition, unless the Administrator provides otherwise, if any dividends or distributions are paid in Shares, or consist of a dividend or distribution to holders of Shares of property other than an ordinary cash dividend, the Shares or other property will be subject to the same restrictions on transferability and forfeitability as the Restricted Stock with respect to which they were paid. Notwithstanding anything to the contrary herein, with respect to any award of Restricted Stock, dividends which are paid to holders of Shares prior to vesting shall only be paid out to the Participant holding such Restricted Stock to the extent that the vesting conditions are subsequently satisfied. All such dividend payments will be made no later than March 15 of the calendar year following the calendar year in which the right to the dividend payment becomes nonforfeitable.</w:t>
      </w:r>
    </w:p>
    <w:p>
      <w:pPr>
        <w:spacing w:after="0" w:line="189" w:lineRule="exact"/>
        <w:rPr>
          <w:rFonts w:ascii="Times New Roman" w:cs="Times New Roman" w:eastAsia="Times New Roman" w:hAnsi="Times New Roman"/>
          <w:sz w:val="20"/>
          <w:szCs w:val="20"/>
          <w:color w:val="auto"/>
        </w:rPr>
      </w:pPr>
    </w:p>
    <w:p>
      <w:pPr>
        <w:ind w:right="320" w:firstLine="1288"/>
        <w:spacing w:after="0" w:line="269" w:lineRule="auto"/>
        <w:tabs>
          <w:tab w:leader="none" w:pos="161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Certificates</w:t>
      </w:r>
      <w:r>
        <w:rPr>
          <w:rFonts w:ascii="Times New Roman" w:cs="Times New Roman" w:eastAsia="Times New Roman" w:hAnsi="Times New Roman"/>
          <w:sz w:val="20"/>
          <w:szCs w:val="20"/>
          <w:color w:val="auto"/>
        </w:rPr>
        <w:t>. The Company may require that the Participant deposit in escrow with the Company (or its designee) any stock certificates issued in respect of Restricted Stock, together with a stock power endorsed in blank.</w:t>
      </w:r>
    </w:p>
    <w:p>
      <w:pPr>
        <w:spacing w:after="0" w:line="173"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u w:val="single" w:color="auto"/>
          <w:color w:val="auto"/>
        </w:rPr>
        <w:t>Restricted Stock Units.</w:t>
      </w:r>
    </w:p>
    <w:p>
      <w:pPr>
        <w:sectPr>
          <w:pgSz w:w="11900" w:h="16838" w:orient="portrait"/>
          <w:cols w:equalWidth="0" w:num="1">
            <w:col w:w="10900"/>
          </w:cols>
          <w:pgMar w:left="660" w:top="114"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The Administrator may provide that settlement of Restricted Stock Units will occur upon or as soon as reasonably practicable after the Restricted Stock Units vest or will instead be deferred, on a mandatory basis or at the Participant’s election, in a manner intended to comply with Section 409A.</w:t>
      </w:r>
    </w:p>
    <w:p>
      <w:pPr>
        <w:spacing w:after="0" w:line="33" w:lineRule="exact"/>
        <w:rPr>
          <w:sz w:val="20"/>
          <w:szCs w:val="20"/>
          <w:color w:val="auto"/>
        </w:rPr>
      </w:pPr>
    </w:p>
    <w:p>
      <w:pPr>
        <w:ind w:right="340" w:firstLine="1288"/>
        <w:spacing w:after="0" w:line="283" w:lineRule="auto"/>
        <w:tabs>
          <w:tab w:leader="none" w:pos="160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Rights</w:t>
      </w:r>
      <w:r>
        <w:rPr>
          <w:rFonts w:ascii="Times New Roman" w:cs="Times New Roman" w:eastAsia="Times New Roman" w:hAnsi="Times New Roman"/>
          <w:sz w:val="20"/>
          <w:szCs w:val="20"/>
          <w:color w:val="auto"/>
        </w:rPr>
        <w:t>. A Participant will have no rights of a stockholder with respect to Shares subject to any Restricted Stock Unit unless and until the Shares are delivered in settlement of the Restricted Stock Unit.</w:t>
      </w:r>
    </w:p>
    <w:p>
      <w:pPr>
        <w:spacing w:after="0" w:line="15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OTHER STOCK OR CASH BASED AWARDS; DIVIDEND EQUIVALENTS</w:t>
      </w:r>
    </w:p>
    <w:p>
      <w:pPr>
        <w:spacing w:after="0" w:line="207"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Other Stock or Cash Based Awards</w:t>
      </w:r>
      <w:r>
        <w:rPr>
          <w:rFonts w:ascii="Times New Roman" w:cs="Times New Roman" w:eastAsia="Times New Roman" w:hAnsi="Times New Roman"/>
          <w:sz w:val="20"/>
          <w:szCs w:val="20"/>
          <w:color w:val="auto"/>
        </w:rPr>
        <w:t>. Other Stock or Cash Based Awards may be granted to Participants, including Awards entitling Participants to receive Shares to be delivered in the future and including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w:t>
      </w:r>
    </w:p>
    <w:p>
      <w:pPr>
        <w:spacing w:after="0" w:line="179" w:lineRule="exact"/>
        <w:rPr>
          <w:sz w:val="20"/>
          <w:szCs w:val="20"/>
          <w:color w:val="auto"/>
        </w:rPr>
      </w:pPr>
    </w:p>
    <w:p>
      <w:pPr>
        <w:jc w:val="both"/>
        <w:ind w:right="320" w:firstLine="648"/>
        <w:spacing w:after="0" w:line="252"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A grant of Restricted Stock Units or Other Stock or Cash Based Award may provide a Participant with the right to receive Dividend Equivalents, and no Dividend Equivalents shall be payable with respect to Options or Stock Appreciation Rights. Dividend Equivalents may be paid currently or credited to an account for the Participant, settled in cash or Stocks and subject to the same restrictions on transferability and forfeitability as the Award with which the Dividend Equivalents are paid and subject to other terms and conditions as set forth in the Award Agreement. Notwithstanding anything to the contrary herein, Dividend Equivalents with respect to an Award shall only be paid out to the Participant to the extent that the vesting conditions applicable to the underlying Award are satisfied. All such Dividend Equivalent payments will be made no later than March 15 of the calendar year following the calendar year in which the right to the Dividend Equivalent payment becomes nonforfeitable in accordance with the foregoing, unless otherwise determined by the Administrator.</w:t>
      </w:r>
    </w:p>
    <w:p>
      <w:pPr>
        <w:spacing w:after="0" w:line="18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ADJUSTMENTS FOR CHANGES IN COMMON STOCK AND CERTAIN OTHER</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EVENTS</w:t>
      </w:r>
    </w:p>
    <w:p>
      <w:pPr>
        <w:spacing w:after="0" w:line="200"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color w:val="auto"/>
        </w:rPr>
        <w:t>. In connection with any Equity Restructuring, notwithstanding anything to the contrary in this Article VIII, the Administrator will equitably adjust each outstanding Award as it deems appropriate to reflect the Equity Restructuring, which may include adjusting the number and type of securities subject to each outstanding Award and/or the Award’s exercise price or grant price (if applicable), granting new Awards to Participants, and making a cash payment to Participants. The adjustments provided under this Section 8.1 will be nondiscretionary and final and binding on the affected Participant and the Company; provided that the Administrator will determine whether an adjustment is equitable.</w:t>
      </w:r>
    </w:p>
    <w:p>
      <w:pPr>
        <w:spacing w:after="0" w:line="192" w:lineRule="exact"/>
        <w:rPr>
          <w:sz w:val="20"/>
          <w:szCs w:val="20"/>
          <w:color w:val="auto"/>
        </w:rPr>
      </w:pPr>
    </w:p>
    <w:p>
      <w:pPr>
        <w:jc w:val="both"/>
        <w:ind w:right="3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Corporate Transactions</w:t>
      </w:r>
      <w:r>
        <w:rPr>
          <w:rFonts w:ascii="Times New Roman" w:cs="Times New Roman" w:eastAsia="Times New Roman" w:hAnsi="Times New Roman"/>
          <w:sz w:val="20"/>
          <w:szCs w:val="20"/>
          <w:color w:val="auto"/>
        </w:rPr>
        <w:t>. In the event of any dividend or other distribution (whether in the form of cash, Common Stock, other securities, or other property), reorganization, merger, consolidation, combination, amalgamation, repurchase, recapitalization, liquidation, dissolution, or sale, transfer, exchange or other disposition of all or substantially all of the assets of the Company, or sale or exchange of Common Stock or other securities of the Company, Change in Control, issuance</w:t>
      </w:r>
    </w:p>
    <w:p>
      <w:pPr>
        <w:sectPr>
          <w:pgSz w:w="11900" w:h="16838" w:orient="portrait"/>
          <w:cols w:equalWidth="0" w:num="1">
            <w:col w:w="10900"/>
          </w:cols>
          <w:pgMar w:left="660" w:top="11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spacing w:after="0" w:line="252" w:lineRule="auto"/>
        <w:rPr>
          <w:sz w:val="20"/>
          <w:szCs w:val="20"/>
          <w:color w:val="auto"/>
        </w:rPr>
      </w:pPr>
      <w:r>
        <w:rPr>
          <w:rFonts w:ascii="Times New Roman" w:cs="Times New Roman" w:eastAsia="Times New Roman" w:hAnsi="Times New Roman"/>
          <w:sz w:val="20"/>
          <w:szCs w:val="20"/>
          <w:color w:val="auto"/>
        </w:rPr>
        <w:t>of warrants or other rights to purchase Common Stock or other securities of the Company, other similar corporate transaction or event, other unusual or nonrecurring transaction or event affecting the Company or its financial statements or any change in any Applicable Laws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facilitate such transaction or event or (z) give effect to such changes in Applicable Laws or accounting principles:</w:t>
      </w:r>
    </w:p>
    <w:p>
      <w:pPr>
        <w:spacing w:after="0" w:line="189" w:lineRule="exact"/>
        <w:rPr>
          <w:sz w:val="20"/>
          <w:szCs w:val="20"/>
          <w:color w:val="auto"/>
        </w:rPr>
      </w:pPr>
    </w:p>
    <w:p>
      <w:pPr>
        <w:jc w:val="both"/>
        <w:ind w:right="320" w:firstLine="1288"/>
        <w:spacing w:after="0" w:line="253" w:lineRule="auto"/>
        <w:tabs>
          <w:tab w:leader="none" w:pos="161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91" w:lineRule="exact"/>
        <w:rPr>
          <w:rFonts w:ascii="Times New Roman" w:cs="Times New Roman" w:eastAsia="Times New Roman" w:hAnsi="Times New Roman"/>
          <w:sz w:val="20"/>
          <w:szCs w:val="20"/>
          <w:color w:val="auto"/>
        </w:rPr>
      </w:pPr>
    </w:p>
    <w:p>
      <w:pPr>
        <w:ind w:right="320" w:firstLine="1288"/>
        <w:spacing w:after="0" w:line="269" w:lineRule="auto"/>
        <w:tabs>
          <w:tab w:leader="none" w:pos="160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shall vest and, to the extent applicable, be exercisable as to all Shares covered thereby, notwithstanding anything to the contrary in the Plan or the provisions of such Award;</w:t>
      </w:r>
    </w:p>
    <w:p>
      <w:pPr>
        <w:spacing w:after="0" w:line="172" w:lineRule="exact"/>
        <w:rPr>
          <w:rFonts w:ascii="Times New Roman" w:cs="Times New Roman" w:eastAsia="Times New Roman" w:hAnsi="Times New Roman"/>
          <w:sz w:val="20"/>
          <w:szCs w:val="20"/>
          <w:color w:val="auto"/>
        </w:rPr>
      </w:pPr>
    </w:p>
    <w:p>
      <w:pPr>
        <w:jc w:val="both"/>
        <w:ind w:right="320" w:firstLine="1288"/>
        <w:spacing w:after="0" w:line="258" w:lineRule="auto"/>
        <w:tabs>
          <w:tab w:leader="none" w:pos="161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such Award be assumed by the successor or survivor corporation, or a parent or subsidiary thereof, or shall be substituted for by awards covering the shares of the successor or survivor corporation, or a parent or subsidiary thereof, with appropriate adjustments as to the number and kind of shares and/or applicable exercise or purchase price, in all cases, as determined by the Administrator;</w:t>
      </w:r>
    </w:p>
    <w:p>
      <w:pPr>
        <w:spacing w:after="0" w:line="172" w:lineRule="exact"/>
        <w:rPr>
          <w:rFonts w:ascii="Times New Roman" w:cs="Times New Roman" w:eastAsia="Times New Roman" w:hAnsi="Times New Roman"/>
          <w:sz w:val="20"/>
          <w:szCs w:val="20"/>
          <w:color w:val="auto"/>
        </w:rPr>
      </w:pPr>
    </w:p>
    <w:p>
      <w:pPr>
        <w:jc w:val="both"/>
        <w:ind w:right="320" w:firstLine="1288"/>
        <w:spacing w:after="0" w:line="253" w:lineRule="auto"/>
        <w:tabs>
          <w:tab w:leader="none" w:pos="160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(or other securities or property) subject to outstanding Awards and/or with respect to which Awards may be granted under the Plan (including, but not limited to, adjustments of the limitations in Article IV on the maximum number and kind of shares which may be issued, including pursuant to any Non-Employee Director Compensation Policy) and/or in the terms and conditions of (including the grant or exercise price or applicable performance goals), and the criteria included in, outstanding Awards;</w:t>
      </w:r>
    </w:p>
    <w:p>
      <w:pPr>
        <w:spacing w:after="0" w:line="191" w:lineRule="exact"/>
        <w:rPr>
          <w:rFonts w:ascii="Times New Roman" w:cs="Times New Roman" w:eastAsia="Times New Roman" w:hAnsi="Times New Roman"/>
          <w:sz w:val="20"/>
          <w:szCs w:val="20"/>
          <w:color w:val="auto"/>
        </w:rPr>
      </w:pPr>
    </w:p>
    <w:p>
      <w:pPr>
        <w:ind w:left="1920" w:hanging="632"/>
        <w:spacing w:after="0"/>
        <w:tabs>
          <w:tab w:leader="none" w:pos="19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replace such Award with other rights or property selected by the Administrator;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and/or</w:t>
      </w:r>
    </w:p>
    <w:p>
      <w:pPr>
        <w:spacing w:after="0" w:line="2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0"/>
          <w:szCs w:val="20"/>
          <w:color w:val="auto"/>
        </w:rPr>
        <w:t>(f) To provide that the Award will terminate and cannot vest, be exercised or become payable after the applicable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event.</w:t>
      </w:r>
    </w:p>
    <w:p>
      <w:pPr>
        <w:spacing w:after="0" w:line="200" w:lineRule="exact"/>
        <w:rPr>
          <w:sz w:val="20"/>
          <w:szCs w:val="20"/>
          <w:color w:val="auto"/>
        </w:rPr>
      </w:pPr>
    </w:p>
    <w:p>
      <w:pPr>
        <w:jc w:val="both"/>
        <w:ind w:right="320" w:firstLine="648"/>
        <w:spacing w:after="0" w:line="257" w:lineRule="auto"/>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Effect of Non-Assumption in a Change in Control</w:t>
      </w:r>
      <w:r>
        <w:rPr>
          <w:rFonts w:ascii="Times New Roman" w:cs="Times New Roman" w:eastAsia="Times New Roman" w:hAnsi="Times New Roman"/>
          <w:sz w:val="20"/>
          <w:szCs w:val="20"/>
          <w:color w:val="auto"/>
        </w:rPr>
        <w:t>. Notwithstanding the provisions of Section 8.2, if a Change in Control occurs and a Participant’s Award is not continued, converted, assumed or replaced with a substantially similar award by (a) the Company, or (b) a successor entity or its parent or subsidiary (an “</w:t>
      </w:r>
      <w:r>
        <w:rPr>
          <w:rFonts w:ascii="Times New Roman" w:cs="Times New Roman" w:eastAsia="Times New Roman" w:hAnsi="Times New Roman"/>
          <w:sz w:val="20"/>
          <w:szCs w:val="20"/>
          <w:b w:val="1"/>
          <w:bCs w:val="1"/>
          <w:i w:val="1"/>
          <w:iCs w:val="1"/>
          <w:color w:val="auto"/>
        </w:rPr>
        <w:t>Assumption</w:t>
      </w:r>
      <w:r>
        <w:rPr>
          <w:rFonts w:ascii="Times New Roman" w:cs="Times New Roman" w:eastAsia="Times New Roman" w:hAnsi="Times New Roman"/>
          <w:sz w:val="20"/>
          <w:szCs w:val="20"/>
          <w:color w:val="auto"/>
        </w:rPr>
        <w:t>”), and provided that the Participant has not had a Termination of Service, then, immediately prior to the Change in Control, such Award shall become fully vested, exercisable and/or payable, as applicable, and all forfeiture, repurchase and other</w:t>
      </w:r>
    </w:p>
    <w:p>
      <w:pPr>
        <w:sectPr>
          <w:pgSz w:w="11900" w:h="16838" w:orient="portrait"/>
          <w:cols w:equalWidth="0" w:num="1">
            <w:col w:w="10900"/>
          </w:cols>
          <w:pgMar w:left="660" w:top="11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spacing w:after="0" w:line="250" w:lineRule="auto"/>
        <w:rPr>
          <w:sz w:val="20"/>
          <w:szCs w:val="20"/>
          <w:color w:val="auto"/>
        </w:rPr>
      </w:pPr>
      <w:r>
        <w:rPr>
          <w:rFonts w:ascii="Times New Roman" w:cs="Times New Roman" w:eastAsia="Times New Roman" w:hAnsi="Times New Roman"/>
          <w:sz w:val="20"/>
          <w:szCs w:val="20"/>
          <w:color w:val="auto"/>
        </w:rPr>
        <w:t>restrictions on such Award shall lapse, in which case, such Award shall be canceled upon the consummation of the Change in Control in exchange for the right to receive the Change in Control consideration payable to other holders of Shares (i) which may be on such terms and conditions as apply generally to holders of Shares under the Change in Control documents (including, without limitation, any escrow, earn-out or other deferred consideration provisions) or such other terms and conditions as the Administrator may provide, and (ii) determined by reference to the number of Shares subject to such Award and net of any applicable exercise price; provided that to the extent that any Award constitutes “nonqualified deferred compensation” that may not be paid upon the Change in Control under Section 409A without the imposition of taxes thereon under Section 409A (including payments as a result of any termination of “nonqualified deferred compensation” Awards permitted under Section 409A in connection with a Change in Control), the timing of such payments shall be governed by the applicable Award Agreement (subject to any deferred consideration provisions applicable under the Change in Control documents); and provided, further, that if the amount to which the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93"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Administrative Stand Still</w:t>
      </w:r>
      <w:r>
        <w:rPr>
          <w:rFonts w:ascii="Times New Roman" w:cs="Times New Roman" w:eastAsia="Times New Roman" w:hAnsi="Times New Roman"/>
          <w:sz w:val="20"/>
          <w:szCs w:val="20"/>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 offering or other similar transaction, for administrative convenience, the Administrator may refuse to permit the exercise of any Award for up to 60 days before or after such transaction.</w:t>
      </w:r>
    </w:p>
    <w:p>
      <w:pPr>
        <w:spacing w:after="0" w:line="192"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20"/>
          <w:szCs w:val="20"/>
          <w:color w:val="auto"/>
        </w:rPr>
        <w:t xml:space="preserve">8.5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8.1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securities with rights superior to those of the Shares or securities convertible into or exchangeable for Shares. The Administrator may treat Participants and Awards (or portions thereof) differently under this Article VIII.</w:t>
      </w:r>
    </w:p>
    <w:p>
      <w:pPr>
        <w:spacing w:after="0" w:line="18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GENERAL PROVISIONS APPLICABLE TO AWARDS</w:t>
      </w:r>
    </w:p>
    <w:p>
      <w:pPr>
        <w:spacing w:after="0" w:line="214"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Except as the Administrator may determine or provide in an Award Agreement or otherwise for Awards other than Incentive Stock Options, Awards may not be sold, assigned, transferred, pledged or otherwise encumbered, either voluntarily or by operation of law, except for certain beneficiary designations, by will or the laws of descent and distribution, or, subject to the Administrator’s consent, pursuant to a domestic relations order, and, during the life of the Participant, will be exercisable only by the Participant. Any permitted transfer of an Award hereunder shall be without consideration, except as required by Applicable Law, and such Award</w:t>
      </w:r>
    </w:p>
    <w:p>
      <w:pPr>
        <w:sectPr>
          <w:pgSz w:w="11900" w:h="16838" w:orient="portrait"/>
          <w:cols w:equalWidth="0" w:num="1">
            <w:col w:w="10900"/>
          </w:cols>
          <w:pgMar w:left="660" w:top="11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20"/>
          <w:szCs w:val="20"/>
          <w:color w:val="auto"/>
        </w:rPr>
        <w:t>transferred to a permitted transferee shall continue to be subject to all the terms and conditions of the Award as applicable to the original Participant and the Participant or transferor and the receiving permitted transferee shall execute any and all documents requested by the Administrator. References to a Participant, to the extent relevant in the context, will include references to a Participant’s authorized transferee that the Administrator specifically approves.</w:t>
      </w:r>
    </w:p>
    <w:p>
      <w:pPr>
        <w:spacing w:after="0" w:line="186" w:lineRule="exact"/>
        <w:rPr>
          <w:sz w:val="20"/>
          <w:szCs w:val="20"/>
          <w:color w:val="auto"/>
        </w:rPr>
      </w:pPr>
    </w:p>
    <w:p>
      <w:pPr>
        <w:jc w:val="both"/>
        <w:ind w:right="3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Each Award will be evidenced in an Award Agreement, which may be written or electronic, as the Administrator determines. The Award Agreement will contain the terms and conditions applicable to an Award. Each Award may contain terms and conditions in addition to those set forth in the Plan.</w:t>
      </w:r>
    </w:p>
    <w:p>
      <w:pPr>
        <w:spacing w:after="0" w:line="168" w:lineRule="exact"/>
        <w:rPr>
          <w:sz w:val="20"/>
          <w:szCs w:val="20"/>
          <w:color w:val="auto"/>
        </w:rPr>
      </w:pPr>
    </w:p>
    <w:p>
      <w:pPr>
        <w:jc w:val="both"/>
        <w:ind w:right="3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Discretion</w:t>
      </w:r>
      <w:r>
        <w:rPr>
          <w:rFonts w:ascii="Times New Roman" w:cs="Times New Roman" w:eastAsia="Times New Roman" w:hAnsi="Times New Roman"/>
          <w:sz w:val="20"/>
          <w:szCs w:val="20"/>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61" w:lineRule="exact"/>
        <w:rPr>
          <w:sz w:val="20"/>
          <w:szCs w:val="20"/>
          <w:color w:val="auto"/>
        </w:rPr>
      </w:pPr>
    </w:p>
    <w:p>
      <w:pPr>
        <w:jc w:val="both"/>
        <w:ind w:right="3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Termination of Status</w:t>
      </w:r>
      <w:r>
        <w:rPr>
          <w:rFonts w:ascii="Times New Roman" w:cs="Times New Roman" w:eastAsia="Times New Roman" w:hAnsi="Times New Roman"/>
          <w:sz w:val="20"/>
          <w:szCs w:val="20"/>
          <w:color w:val="auto"/>
        </w:rPr>
        <w:t>. The Administrator will determine how the disability, death, retirement, an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w:t>
      </w:r>
    </w:p>
    <w:p>
      <w:pPr>
        <w:spacing w:after="0" w:line="186" w:lineRule="exact"/>
        <w:rPr>
          <w:sz w:val="20"/>
          <w:szCs w:val="20"/>
          <w:color w:val="auto"/>
        </w:rPr>
      </w:pPr>
    </w:p>
    <w:p>
      <w:pPr>
        <w:jc w:val="both"/>
        <w:ind w:right="320" w:firstLine="648"/>
        <w:spacing w:after="0" w:line="262" w:lineRule="auto"/>
        <w:rPr>
          <w:sz w:val="20"/>
          <w:szCs w:val="20"/>
          <w:color w:val="auto"/>
        </w:rPr>
      </w:pPr>
      <w:r>
        <w:rPr>
          <w:rFonts w:ascii="Times New Roman" w:cs="Times New Roman" w:eastAsia="Times New Roman" w:hAnsi="Times New Roman"/>
          <w:sz w:val="19"/>
          <w:szCs w:val="19"/>
          <w:color w:val="auto"/>
        </w:rPr>
        <w:t xml:space="preserve">9.5 </w:t>
      </w: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Each Participant must pay the Company, or make provision satisfactory to the Administrator for payment of, any taxes required by Applicable Law to be withheld in connection with such Participant’s Awards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 In the absence of a contrary determination by the Company (or, with respect to withholding pursuant to clause (ii) below with respect to Awards held by individuals subject to Section 16 of the Exchange Act, a contrary determination by the Administrator), all tax withholding obligations will be calculated based on the maximum applicable statutory withholding rates. Subject to Section 10.8 and any Company insider trading policy (including blackout periods), Participants may satisfy such tax obligations (i) in cash, by wire transfer of immediately available funds, by check made payable to the order of the Company, provided that the Company may limit the use of the foregoing payment forms if one or more of the payment forms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Company otherwise determines, (A) delivery (including electronically or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to the extent permitted by the Company, any combination of the foregoing payment forms approved by the Administrator. Notwithstanding any other provision of the Plan, the number of Shares which may be so delivered or retained pursuant to clause (ii) of the immediately preceding sentence shall be limited to the number of Shares which have a Fair Market Value on the date of delivery or retention no greater than the aggregate amount of such liabilities based on the maximum individual statutory tax rate</w:t>
      </w:r>
    </w:p>
    <w:p>
      <w:pPr>
        <w:sectPr>
          <w:pgSz w:w="11900" w:h="16838" w:orient="portrait"/>
          <w:cols w:equalWidth="0" w:num="1">
            <w:col w:w="10900"/>
          </w:cols>
          <w:pgMar w:left="660" w:top="114"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8" w:right="320"/>
        <w:spacing w:after="0" w:line="264" w:lineRule="auto"/>
        <w:rPr>
          <w:sz w:val="20"/>
          <w:szCs w:val="20"/>
          <w:color w:val="auto"/>
        </w:rPr>
      </w:pPr>
      <w:r>
        <w:rPr>
          <w:rFonts w:ascii="Times New Roman" w:cs="Times New Roman" w:eastAsia="Times New Roman" w:hAnsi="Times New Roman"/>
          <w:sz w:val="19"/>
          <w:szCs w:val="19"/>
          <w:color w:val="auto"/>
        </w:rPr>
        <w:t>in the applicable jurisdiction at the time of such withholding (or such other rate as may be required to avoid the liability classification of the applicable award under generally accepted accounting principles in the United States of America); provided, however, to the extent such Shares were acquired by Participant from the Company as compensation, the Shares must have been held for the minimum period required by applicable accounting rules to avoid a charge to the Company’s earnings for financial reporting purposes; provided, further, that, any such Shares delivered or retained shall be rounded up to the nearest whole Share to the extent rounding up to the nearest whole Share does not result in the liability classification of the applicable Award under generally accepted accounting principles in the United States of America. If any tax withholding obligation will be satisfied under clause (ii) above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81" w:lineRule="exact"/>
        <w:rPr>
          <w:sz w:val="20"/>
          <w:szCs w:val="20"/>
          <w:color w:val="auto"/>
        </w:rPr>
      </w:pPr>
    </w:p>
    <w:p>
      <w:pPr>
        <w:jc w:val="both"/>
        <w:ind w:left="8" w:right="320" w:firstLine="648"/>
        <w:spacing w:after="0" w:line="250"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Amendment of Award; Repricing</w:t>
      </w:r>
      <w:r>
        <w:rPr>
          <w:rFonts w:ascii="Times New Roman" w:cs="Times New Roman" w:eastAsia="Times New Roman" w:hAnsi="Times New Roman"/>
          <w:sz w:val="20"/>
          <w:szCs w:val="20"/>
          <w:color w:val="auto"/>
        </w:rPr>
        <w:t>. The Administrator may amend, modify or terminate any outstanding Award, including by substituting another Award of the same or a different type, changing the exercise or settlement date, and converting an Incentive Stock Option to a Non-Qualified Option. The Participant’s consent to such action will be required unless (i) the action, taking into account any related action, does not materially and adversely affect the Participant’s rights under the Award, or (ii) the change is permitted under Article VIII or pursuant to Section 10.6. Notwithstanding the foregoing or anything in the Plan to the contrary, the Administrator may, without the approval of the stockholders of the Company,</w:t>
      </w:r>
    </w:p>
    <w:p>
      <w:pPr>
        <w:spacing w:after="0" w:line="2" w:lineRule="exact"/>
        <w:rPr>
          <w:sz w:val="20"/>
          <w:szCs w:val="20"/>
          <w:color w:val="auto"/>
        </w:rPr>
      </w:pPr>
    </w:p>
    <w:p>
      <w:pPr>
        <w:jc w:val="both"/>
        <w:ind w:left="8" w:right="320" w:hanging="8"/>
        <w:spacing w:after="0" w:line="249" w:lineRule="auto"/>
        <w:tabs>
          <w:tab w:leader="none" w:pos="26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 the exercise price per share of outstanding Options or Stock Appreciation Rights or (ii) cancel outstanding Options or Stock Appreciation Rights in exchange for cash, other Awards or Options or Stock Appreciation Rights with an exercise price per share that is less than the exercise price per share of the original Options or Stock Appreciation Rights.</w:t>
      </w:r>
    </w:p>
    <w:p>
      <w:pPr>
        <w:spacing w:after="0" w:line="194" w:lineRule="exact"/>
        <w:rPr>
          <w:sz w:val="20"/>
          <w:szCs w:val="20"/>
          <w:color w:val="auto"/>
        </w:rPr>
      </w:pPr>
    </w:p>
    <w:p>
      <w:pPr>
        <w:jc w:val="both"/>
        <w:ind w:left="8" w:right="3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Conditions on Delivery of Share</w:t>
      </w:r>
      <w:r>
        <w:rPr>
          <w:rFonts w:ascii="Times New Roman" w:cs="Times New Roman" w:eastAsia="Times New Roman" w:hAnsi="Times New Roman"/>
          <w:sz w:val="20"/>
          <w:szCs w:val="20"/>
          <w:color w:val="auto"/>
        </w:rPr>
        <w:t>s.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any Applicable Laws.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95" w:lineRule="exact"/>
        <w:rPr>
          <w:sz w:val="20"/>
          <w:szCs w:val="20"/>
          <w:color w:val="auto"/>
        </w:rPr>
      </w:pPr>
    </w:p>
    <w:p>
      <w:pPr>
        <w:jc w:val="both"/>
        <w:ind w:left="8" w:right="340" w:firstLine="648"/>
        <w:spacing w:after="0" w:line="269" w:lineRule="auto"/>
        <w:rPr>
          <w:sz w:val="20"/>
          <w:szCs w:val="20"/>
          <w:color w:val="auto"/>
        </w:rPr>
      </w:pPr>
      <w:r>
        <w:rPr>
          <w:rFonts w:ascii="Times New Roman" w:cs="Times New Roman" w:eastAsia="Times New Roman" w:hAnsi="Times New Roman"/>
          <w:sz w:val="20"/>
          <w:szCs w:val="20"/>
          <w:color w:val="auto"/>
        </w:rPr>
        <w:t xml:space="preserve">9.8 </w:t>
      </w:r>
      <w:r>
        <w:rPr>
          <w:rFonts w:ascii="Times New Roman" w:cs="Times New Roman" w:eastAsia="Times New Roman" w:hAnsi="Times New Roman"/>
          <w:sz w:val="20"/>
          <w:szCs w:val="20"/>
          <w:u w:val="single" w:color="auto"/>
          <w:color w:val="auto"/>
        </w:rPr>
        <w:t>Acceleration</w:t>
      </w:r>
      <w:r>
        <w:rPr>
          <w:rFonts w:ascii="Times New Roman" w:cs="Times New Roman" w:eastAsia="Times New Roman" w:hAnsi="Times New Roman"/>
          <w:sz w:val="20"/>
          <w:szCs w:val="20"/>
          <w:color w:val="auto"/>
        </w:rPr>
        <w:t>. The Administrator may at any time provide that any Award will become immediately vested and fully or partially exercisable, free of some or all restrictions or conditions, or otherwise fully or partially realizable.</w:t>
      </w:r>
    </w:p>
    <w:p>
      <w:pPr>
        <w:spacing w:after="0" w:line="173" w:lineRule="exact"/>
        <w:rPr>
          <w:sz w:val="20"/>
          <w:szCs w:val="20"/>
          <w:color w:val="auto"/>
        </w:rPr>
      </w:pPr>
    </w:p>
    <w:p>
      <w:pPr>
        <w:jc w:val="both"/>
        <w:ind w:left="8" w:right="3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Cash Settlement</w:t>
      </w:r>
      <w:r>
        <w:rPr>
          <w:rFonts w:ascii="Times New Roman" w:cs="Times New Roman" w:eastAsia="Times New Roman" w:hAnsi="Times New Roman"/>
          <w:sz w:val="20"/>
          <w:szCs w:val="20"/>
          <w:color w:val="auto"/>
        </w:rPr>
        <w:t>. Without limiting the generality of any other provision of the Plan, the Administrator may provide, in an Award Agreement or subsequent to the grant of an Award, in its discretion, that any Award may be settled in cash, Shares or a combination thereof.</w:t>
      </w:r>
    </w:p>
    <w:p>
      <w:pPr>
        <w:sectPr>
          <w:pgSz w:w="11900" w:h="16838" w:orient="portrait"/>
          <w:cols w:equalWidth="0" w:num="1">
            <w:col w:w="10908"/>
          </w:cols>
          <w:pgMar w:left="652" w:top="114"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firstLine="648"/>
        <w:spacing w:after="0" w:line="265" w:lineRule="auto"/>
        <w:rPr>
          <w:sz w:val="20"/>
          <w:szCs w:val="20"/>
          <w:color w:val="auto"/>
        </w:rPr>
      </w:pPr>
      <w:r>
        <w:rPr>
          <w:rFonts w:ascii="Times New Roman" w:cs="Times New Roman" w:eastAsia="Times New Roman" w:hAnsi="Times New Roman"/>
          <w:sz w:val="19"/>
          <w:szCs w:val="19"/>
          <w:color w:val="auto"/>
        </w:rPr>
        <w:t xml:space="preserve">9.10 </w:t>
      </w:r>
      <w:r>
        <w:rPr>
          <w:rFonts w:ascii="Times New Roman" w:cs="Times New Roman" w:eastAsia="Times New Roman" w:hAnsi="Times New Roman"/>
          <w:sz w:val="19"/>
          <w:szCs w:val="19"/>
          <w:u w:val="single" w:color="auto"/>
          <w:color w:val="auto"/>
        </w:rPr>
        <w:t>Broker-Assisted Sales</w:t>
      </w:r>
      <w:r>
        <w:rPr>
          <w:rFonts w:ascii="Times New Roman" w:cs="Times New Roman" w:eastAsia="Times New Roman" w:hAnsi="Times New Roman"/>
          <w:sz w:val="19"/>
          <w:szCs w:val="19"/>
          <w:color w:val="auto"/>
        </w:rPr>
        <w:t>. In the event of a broker-assisted sale of Shares in connection with the payment of amounts owed by a Participant under or with respect to the Plan or Awards, including amounts to be paid under the final sentence of Section 9.5: (i) any Shares to be sold through the broker-assisted sale will be sold on the day the payment first becomes due, or as soon thereafter as practicable; (ii) such Shares may be sold as part of a block trade with other Participants in the Plan in which all participants receive an average price; (iii) the applicable Participant will be responsible for all broker’s fees and other costs of sale, and by accepting an Award, each Participant agrees to indemnify and hold the Company harmless from any losses, costs, damages, or expenses relating to any such sale; (iv) to the extent the Company or its designee receives proceeds of such sale that exceed the amount owed, the Company will pay such excess in cash to the applicable Participant as soon as reasonably practicable; (v) the Company and its designees are under no obligation to arrange for such sale at any particular price; and (vi)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1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0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6"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u w:val="single" w:color="auto"/>
          <w:color w:val="auto"/>
        </w:rPr>
        <w:t>No Right to Employment or Other Status</w:t>
      </w:r>
      <w:r>
        <w:rPr>
          <w:rFonts w:ascii="Times New Roman" w:cs="Times New Roman" w:eastAsia="Times New Roman" w:hAnsi="Times New Roman"/>
          <w:sz w:val="20"/>
          <w:szCs w:val="20"/>
          <w:color w:val="auto"/>
        </w:rPr>
        <w:t>. No person will have any claim or right to be granted an Award, and the grant of an Award will not be construed as giving a Participant the right to continued employment or any other relationship with the Company or any of its Subsidiaries. The Company and its Subsidiaries expressly reserves the right at any time to dismiss or otherwise terminate its relationship with a Participant free from any liability or claim under the Plan or any Award, except as expressly provided in an Award Agreement or in the Plan.</w:t>
      </w:r>
    </w:p>
    <w:p>
      <w:pPr>
        <w:spacing w:after="0" w:line="192"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No Rights as Stockholder; Certificates</w:t>
      </w:r>
      <w:r>
        <w:rPr>
          <w:rFonts w:ascii="Times New Roman" w:cs="Times New Roman" w:eastAsia="Times New Roman" w:hAnsi="Times New Roman"/>
          <w:sz w:val="20"/>
          <w:szCs w:val="20"/>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Laws require,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stock certificates issued under the Plan that the Administrator deems necessary or appropriate to comply with Applicable Laws.</w:t>
      </w:r>
    </w:p>
    <w:p>
      <w:pPr>
        <w:spacing w:after="0" w:line="175" w:lineRule="exact"/>
        <w:rPr>
          <w:sz w:val="20"/>
          <w:szCs w:val="20"/>
          <w:color w:val="auto"/>
        </w:rPr>
      </w:pPr>
    </w:p>
    <w:p>
      <w:pPr>
        <w:jc w:val="both"/>
        <w:ind w:right="320" w:firstLine="648"/>
        <w:spacing w:after="0" w:line="258"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Effective Date and Term of Plan</w:t>
      </w:r>
      <w:r>
        <w:rPr>
          <w:rFonts w:ascii="Times New Roman" w:cs="Times New Roman" w:eastAsia="Times New Roman" w:hAnsi="Times New Roman"/>
          <w:sz w:val="20"/>
          <w:szCs w:val="20"/>
          <w:color w:val="auto"/>
        </w:rPr>
        <w:t>. The Plan became effective on September 10, 2025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and will remain in effect until September 1, 2035, the tenth anniversary of the date the Board adopted the Plan, but Awards previously granted may extend beyond that date in accordance with the Plan. Notwithstanding anything to the contrary in the Plan, an Incentive Stock Option may not be granted under the Plan after September 1, 2035, but Awards previously granted may extend beyond that date in accordance with the Plan.</w:t>
      </w:r>
    </w:p>
    <w:p>
      <w:pPr>
        <w:spacing w:after="0" w:line="172"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Amendment of Plan</w:t>
      </w:r>
      <w:r>
        <w:rPr>
          <w:rFonts w:ascii="Times New Roman" w:cs="Times New Roman" w:eastAsia="Times New Roman" w:hAnsi="Times New Roman"/>
          <w:sz w:val="20"/>
          <w:szCs w:val="20"/>
          <w:color w:val="auto"/>
        </w:rPr>
        <w:t>. The Board may amend, suspend or terminate the Plan at any time; provided that no amendment, other than an increase to the Overall Share Limit, may materially and adversely affect any Award outstanding at the time of such amendment without the affected Participant’s consent. No Awards may be granted under the Plan during any suspension period or after the Plan’s termination. Awards outstanding at the time of any Plan suspension or termination will continue to be governed by the Plan and the Award Agreement, as in effect before</w:t>
      </w:r>
    </w:p>
    <w:p>
      <w:pPr>
        <w:sectPr>
          <w:pgSz w:w="11900" w:h="16838" w:orient="portrait"/>
          <w:cols w:equalWidth="0" w:num="1">
            <w:col w:w="10900"/>
          </w:cols>
          <w:pgMar w:left="660" w:top="114"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spacing w:after="0" w:line="283" w:lineRule="auto"/>
        <w:rPr>
          <w:sz w:val="20"/>
          <w:szCs w:val="20"/>
          <w:color w:val="auto"/>
        </w:rPr>
      </w:pPr>
      <w:r>
        <w:rPr>
          <w:rFonts w:ascii="Times New Roman" w:cs="Times New Roman" w:eastAsia="Times New Roman" w:hAnsi="Times New Roman"/>
          <w:sz w:val="20"/>
          <w:szCs w:val="20"/>
          <w:color w:val="auto"/>
        </w:rPr>
        <w:t>such suspension or termination. The Board will obtain stockholder approval of any Plan amendment to the extent necessary to comply with Applicable Laws.</w:t>
      </w:r>
    </w:p>
    <w:p>
      <w:pPr>
        <w:spacing w:after="0" w:line="11"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Provisions for Foreign Participants</w:t>
      </w:r>
      <w:r>
        <w:rPr>
          <w:rFonts w:ascii="Times New Roman" w:cs="Times New Roman" w:eastAsia="Times New Roman" w:hAnsi="Times New Roman"/>
          <w:sz w:val="20"/>
          <w:szCs w:val="20"/>
          <w:color w:val="auto"/>
        </w:rPr>
        <w:t xml:space="preserve">. The Administrator may modify Awards granted to Participants who are foreign nationals or employed outside the United States or establish subplans or procedures under the Plan to address requirements of Applicable Laws and differences in laws, rules, regulations or customs of such foreign jurisdictions with respect to tax, securities, currency, employee benefit or other matters;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subplans and/or modifications shall increase the Overall Share Limit or the Director Limit.</w:t>
      </w:r>
    </w:p>
    <w:p>
      <w:pPr>
        <w:spacing w:after="0" w:line="192"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right="320" w:firstLine="1288"/>
        <w:spacing w:after="0" w:line="250" w:lineRule="auto"/>
        <w:tabs>
          <w:tab w:leader="none" w:pos="161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The Company intends that all Awards be structured to comply with, or be exempt from, Section 409A, such that no adverse 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10.6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99" w:lineRule="exact"/>
        <w:rPr>
          <w:rFonts w:ascii="Times New Roman" w:cs="Times New Roman" w:eastAsia="Times New Roman" w:hAnsi="Times New Roman"/>
          <w:sz w:val="20"/>
          <w:szCs w:val="20"/>
          <w:color w:val="auto"/>
        </w:rPr>
      </w:pPr>
    </w:p>
    <w:p>
      <w:pPr>
        <w:jc w:val="both"/>
        <w:ind w:right="320" w:firstLine="1288"/>
        <w:spacing w:after="0" w:line="253" w:lineRule="auto"/>
        <w:tabs>
          <w:tab w:leader="none" w:pos="160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from Service</w:t>
      </w:r>
      <w:r>
        <w:rPr>
          <w:rFonts w:ascii="Times New Roman" w:cs="Times New Roman" w:eastAsia="Times New Roman" w:hAnsi="Times New Roman"/>
          <w:sz w:val="20"/>
          <w:szCs w:val="20"/>
          <w:color w:val="auto"/>
        </w:rPr>
        <w:t>. If an Award constitutes “nonqualified deferred compensation” under Section 409A, any payment or settlement of such Award upon a termination of a Participant’s Service Provider relationship will, to the extent necessary to avoid taxes under Section 409A, be made only upon the Participant’s “separation from service” (within the meaning of Section 409A), whether such “separation from service” occurs upon or after the termination of the Participant’s Service Provider relationship. For purposes of this Plan or any Award Agreement relating to any such payments or benefits, references to a “termination,” “termination of employment” or like terms means a “separation from service.”</w:t>
      </w:r>
    </w:p>
    <w:p>
      <w:pPr>
        <w:spacing w:after="0" w:line="179" w:lineRule="exact"/>
        <w:rPr>
          <w:sz w:val="20"/>
          <w:szCs w:val="20"/>
          <w:color w:val="auto"/>
        </w:rPr>
      </w:pPr>
    </w:p>
    <w:p>
      <w:pPr>
        <w:jc w:val="both"/>
        <w:ind w:right="320" w:firstLine="648"/>
        <w:spacing w:after="0" w:line="252"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Limitations on Liability</w:t>
      </w:r>
      <w:r>
        <w:rPr>
          <w:rFonts w:ascii="Times New Roman" w:cs="Times New Roman" w:eastAsia="Times New Roman" w:hAnsi="Times New Roman"/>
          <w:sz w:val="20"/>
          <w:szCs w:val="20"/>
          <w:color w:val="auto"/>
        </w:rPr>
        <w:t>.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189" w:lineRule="exact"/>
        <w:rPr>
          <w:sz w:val="20"/>
          <w:szCs w:val="20"/>
          <w:color w:val="auto"/>
        </w:rPr>
      </w:pPr>
    </w:p>
    <w:p>
      <w:pPr>
        <w:jc w:val="both"/>
        <w:ind w:right="3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Lock-Up Period</w:t>
      </w:r>
      <w:r>
        <w:rPr>
          <w:rFonts w:ascii="Times New Roman" w:cs="Times New Roman" w:eastAsia="Times New Roman" w:hAnsi="Times New Roman"/>
          <w:sz w:val="20"/>
          <w:szCs w:val="20"/>
          <w:color w:val="auto"/>
        </w:rPr>
        <w:t>. The Company may, at the request of any underwriter representative or otherwise, in connection with registering the offering of any Company securities</w:t>
      </w:r>
    </w:p>
    <w:p>
      <w:pPr>
        <w:sectPr>
          <w:pgSz w:w="11900" w:h="16838" w:orient="portrait"/>
          <w:cols w:equalWidth="0" w:num="1">
            <w:col w:w="10900"/>
          </w:cols>
          <w:pgMar w:left="660" w:top="114"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20"/>
          <w:szCs w:val="20"/>
          <w:color w:val="auto"/>
        </w:rPr>
        <w:t>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33" w:lineRule="exact"/>
        <w:rPr>
          <w:sz w:val="20"/>
          <w:szCs w:val="20"/>
          <w:color w:val="auto"/>
        </w:rPr>
      </w:pPr>
    </w:p>
    <w:p>
      <w:pPr>
        <w:jc w:val="both"/>
        <w:ind w:right="320" w:firstLine="648"/>
        <w:spacing w:after="0" w:line="249"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Data Privacy</w:t>
      </w:r>
      <w:r>
        <w:rPr>
          <w:rFonts w:ascii="Times New Roman" w:cs="Times New Roman" w:eastAsia="Times New Roman" w:hAnsi="Times New Roman"/>
          <w:sz w:val="20"/>
          <w:szCs w:val="20"/>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10.9 in writing, without cost, by contacting the local human resources representative. If the Participant refuses or withdraws the consents in this Section 10.9, the Company may cancel Participant’s ability to participate in the Plan and, in the Administrator’s discretion, the Participant may forfeit any outstanding Awards. For more information on the consequences of refusing or withdrawing consent, Participants may contact their local human resources representative.</w:t>
      </w:r>
    </w:p>
    <w:p>
      <w:pPr>
        <w:spacing w:after="0" w:line="200"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1" w:lineRule="exact"/>
        <w:rPr>
          <w:sz w:val="20"/>
          <w:szCs w:val="20"/>
          <w:color w:val="auto"/>
        </w:rPr>
      </w:pPr>
    </w:p>
    <w:p>
      <w:pPr>
        <w:jc w:val="both"/>
        <w:ind w:right="320" w:firstLine="1288"/>
        <w:spacing w:after="0" w:line="266" w:lineRule="auto"/>
        <w:tabs>
          <w:tab w:leader="none" w:pos="161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Payments to Specified Employees</w:t>
      </w:r>
      <w:r>
        <w:rPr>
          <w:rFonts w:ascii="Times New Roman" w:cs="Times New Roman" w:eastAsia="Times New Roman" w:hAnsi="Times New Roman"/>
          <w:sz w:val="19"/>
          <w:szCs w:val="19"/>
          <w:color w:val="auto"/>
        </w:rPr>
        <w:t>. Notwithstanding any contrary provision in the Plan or any Award Agreement, any payment(s) of “nonqualified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ectPr>
          <w:pgSz w:w="11900" w:h="16838" w:orient="portrait"/>
          <w:cols w:equalWidth="0" w:num="1">
            <w:col w:w="10900"/>
          </w:cols>
          <w:pgMar w:left="660" w:top="114"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firstLine="648"/>
        <w:spacing w:after="0" w:line="281" w:lineRule="auto"/>
        <w:rPr>
          <w:sz w:val="20"/>
          <w:szCs w:val="20"/>
          <w:color w:val="auto"/>
        </w:rPr>
      </w:pPr>
      <w:r>
        <w:rPr>
          <w:rFonts w:ascii="Times New Roman" w:cs="Times New Roman" w:eastAsia="Times New Roman" w:hAnsi="Times New Roman"/>
          <w:sz w:val="19"/>
          <w:szCs w:val="19"/>
          <w:color w:val="auto"/>
        </w:rPr>
        <w:t xml:space="preserve">10.11 </w:t>
      </w:r>
      <w:r>
        <w:rPr>
          <w:rFonts w:ascii="Times New Roman" w:cs="Times New Roman" w:eastAsia="Times New Roman" w:hAnsi="Times New Roman"/>
          <w:sz w:val="19"/>
          <w:szCs w:val="19"/>
          <w:u w:val="single" w:color="auto"/>
          <w:color w:val="auto"/>
        </w:rPr>
        <w:t>Governing Documents</w:t>
      </w:r>
      <w:r>
        <w:rPr>
          <w:rFonts w:ascii="Times New Roman" w:cs="Times New Roman" w:eastAsia="Times New Roman" w:hAnsi="Times New Roman"/>
          <w:sz w:val="19"/>
          <w:szCs w:val="19"/>
          <w:color w:val="auto"/>
        </w:rPr>
        <w:t>. If any contradiction occurs between the Plan and any Award Agreement or other written agreement between a Participant and the Company (or any Subsidiary) that the Administrator has approved, the Plan will govern, unless it is expressly specified in such Award Agreement or other written document that a specific provision of the Plan will not apply.</w:t>
      </w:r>
    </w:p>
    <w:p>
      <w:pPr>
        <w:spacing w:after="0" w:line="164" w:lineRule="exact"/>
        <w:rPr>
          <w:sz w:val="20"/>
          <w:szCs w:val="20"/>
          <w:color w:val="auto"/>
        </w:rPr>
      </w:pPr>
    </w:p>
    <w:p>
      <w:pPr>
        <w:jc w:val="both"/>
        <w:ind w:right="3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and all Awards will be governed by and interpreted in accordance with the laws of Nevada without giving effect to principles of conflicts of laws.</w:t>
      </w:r>
    </w:p>
    <w:p>
      <w:pPr>
        <w:spacing w:after="0" w:line="11"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All Awards (including, without limitation, any proceeds, gains or other economic benefit actually or constructively received by Participant upon any receipt or exercise of any Award or upon the receipt or resale of any Shares underlying the Award) shall be subject to the provisions of any claw-back policy implemented by the Company, including, without limitation, any claw-back policy adopted to comply with Applicable Laws (including the Dodd-Frank Wall Street Reform and Consumer Protection Act and any rules or regulations promulgated thereunder) as and to the extent set forth in such claw-back policy or the Award Agreement.</w:t>
      </w:r>
    </w:p>
    <w:p>
      <w:pPr>
        <w:spacing w:after="0" w:line="179" w:lineRule="exact"/>
        <w:rPr>
          <w:sz w:val="20"/>
          <w:szCs w:val="20"/>
          <w:color w:val="auto"/>
        </w:rPr>
      </w:pPr>
    </w:p>
    <w:p>
      <w:pPr>
        <w:jc w:val="both"/>
        <w:ind w:right="340" w:firstLine="648"/>
        <w:spacing w:after="0" w:line="283"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Titles and Headings</w:t>
      </w:r>
      <w:r>
        <w:rPr>
          <w:rFonts w:ascii="Times New Roman" w:cs="Times New Roman" w:eastAsia="Times New Roman" w:hAnsi="Times New Roman"/>
          <w:sz w:val="20"/>
          <w:szCs w:val="20"/>
          <w:color w:val="auto"/>
        </w:rPr>
        <w:t>. The titles and headings in the Plan are for convenience of reference only and, if any conflict, the Plan’s text, rather than such titles or headings, will control.</w:t>
      </w:r>
    </w:p>
    <w:p>
      <w:pPr>
        <w:spacing w:after="0" w:line="146" w:lineRule="exact"/>
        <w:rPr>
          <w:sz w:val="20"/>
          <w:szCs w:val="20"/>
          <w:color w:val="auto"/>
        </w:rPr>
      </w:pPr>
    </w:p>
    <w:p>
      <w:pPr>
        <w:jc w:val="both"/>
        <w:ind w:right="3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is intended to conform to the extent necessary with Applicable Laws. Notwithstanding anything herein to the contrary, the Plan and all Awards will be administered only in conformance with Applicable Laws. To the extent Applicable Laws permit, the Plan and all Award Agreements will be deemed amended as necessary to conform to Applicable Laws. For the avoidance of doubt and notwithstanding anything herein to the contrary, any provisions relating to exculpation or indemnification of directors, officers, employees or others under the Plan and all Awards will be administered and construed in accordance with Applicable Laws and the Company’s certificate of incorporation, bylaws, and other governing documents</w:t>
      </w:r>
    </w:p>
    <w:p>
      <w:pPr>
        <w:spacing w:after="0" w:line="179" w:lineRule="exact"/>
        <w:rPr>
          <w:sz w:val="20"/>
          <w:szCs w:val="20"/>
          <w:color w:val="auto"/>
        </w:rPr>
      </w:pPr>
    </w:p>
    <w:p>
      <w:pPr>
        <w:jc w:val="both"/>
        <w:ind w:right="340" w:firstLine="648"/>
        <w:spacing w:after="0" w:line="268" w:lineRule="auto"/>
        <w:rPr>
          <w:sz w:val="20"/>
          <w:szCs w:val="20"/>
          <w:color w:val="auto"/>
        </w:rPr>
      </w:pPr>
      <w:r>
        <w:rPr>
          <w:rFonts w:ascii="Times New Roman" w:cs="Times New Roman" w:eastAsia="Times New Roman" w:hAnsi="Times New Roman"/>
          <w:sz w:val="20"/>
          <w:szCs w:val="20"/>
          <w:color w:val="auto"/>
        </w:rPr>
        <w:t xml:space="preserve">10.16 </w:t>
      </w:r>
      <w:r>
        <w:rPr>
          <w:rFonts w:ascii="Times New Roman" w:cs="Times New Roman" w:eastAsia="Times New Roman" w:hAnsi="Times New Roman"/>
          <w:sz w:val="20"/>
          <w:szCs w:val="20"/>
          <w:u w:val="single" w:color="auto"/>
          <w:color w:val="auto"/>
        </w:rPr>
        <w:t>Relationship to Other Benefits</w:t>
      </w:r>
      <w:r>
        <w:rPr>
          <w:rFonts w:ascii="Times New Roman" w:cs="Times New Roman" w:eastAsia="Times New Roman" w:hAnsi="Times New Roman"/>
          <w:sz w:val="20"/>
          <w:szCs w:val="20"/>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5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0"/>
          <w:szCs w:val="20"/>
          <w:b w:val="1"/>
          <w:bCs w:val="1"/>
          <w:color w:val="auto"/>
        </w:rPr>
        <w:t>ARTICLE XI. DEFINITIONS</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As used in the Plan, the following words and phrases will have the following meanings:</w:t>
      </w:r>
    </w:p>
    <w:p>
      <w:pPr>
        <w:spacing w:after="0" w:line="212" w:lineRule="exact"/>
        <w:rPr>
          <w:sz w:val="20"/>
          <w:szCs w:val="20"/>
          <w:color w:val="auto"/>
        </w:rPr>
      </w:pPr>
    </w:p>
    <w:p>
      <w:pPr>
        <w:jc w:val="both"/>
        <w:ind w:right="320" w:firstLine="648"/>
        <w:spacing w:after="0" w:line="260" w:lineRule="auto"/>
        <w:rPr>
          <w:sz w:val="20"/>
          <w:szCs w:val="20"/>
          <w:color w:val="auto"/>
        </w:rPr>
      </w:pPr>
      <w:r>
        <w:rPr>
          <w:rFonts w:ascii="Times New Roman" w:cs="Times New Roman" w:eastAsia="Times New Roman" w:hAnsi="Times New Roman"/>
          <w:sz w:val="20"/>
          <w:szCs w:val="20"/>
          <w:color w:val="auto"/>
        </w:rPr>
        <w:t>11.1 “</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Board or a Committee to the extent that the Board’s powers or authority under the Plan have been delegated to such Committee. Notwithstanding the foregoing, the full Board, acting by a majority of its members in office, shall conduct the general administration of the Plan with respect to Awards granted to Directors and, with respect to such Awards, the term “Administrator” as used in the Plan shall be deemed to refer to the Board.</w:t>
      </w:r>
    </w:p>
    <w:p>
      <w:pPr>
        <w:spacing w:after="0" w:line="178" w:lineRule="exact"/>
        <w:rPr>
          <w:sz w:val="20"/>
          <w:szCs w:val="20"/>
          <w:color w:val="auto"/>
        </w:rPr>
      </w:pPr>
    </w:p>
    <w:p>
      <w:pPr>
        <w:jc w:val="both"/>
        <w:ind w:right="320" w:firstLine="648"/>
        <w:spacing w:after="0" w:line="260" w:lineRule="auto"/>
        <w:rPr>
          <w:sz w:val="20"/>
          <w:szCs w:val="20"/>
          <w:color w:val="auto"/>
        </w:rPr>
      </w:pPr>
      <w:r>
        <w:rPr>
          <w:rFonts w:ascii="Times New Roman" w:cs="Times New Roman" w:eastAsia="Times New Roman" w:hAnsi="Times New Roman"/>
          <w:sz w:val="20"/>
          <w:szCs w:val="20"/>
          <w:color w:val="auto"/>
        </w:rPr>
        <w:t>11.2 “</w:t>
      </w:r>
      <w:r>
        <w:rPr>
          <w:rFonts w:ascii="Times New Roman" w:cs="Times New Roman" w:eastAsia="Times New Roman" w:hAnsi="Times New Roman"/>
          <w:sz w:val="20"/>
          <w:szCs w:val="20"/>
          <w:b w:val="1"/>
          <w:bCs w:val="1"/>
          <w:i w:val="1"/>
          <w:iCs w:val="1"/>
          <w:color w:val="auto"/>
        </w:rPr>
        <w:t>Applicable Laws</w:t>
      </w:r>
      <w:r>
        <w:rPr>
          <w:rFonts w:ascii="Times New Roman" w:cs="Times New Roman" w:eastAsia="Times New Roman" w:hAnsi="Times New Roman"/>
          <w:sz w:val="20"/>
          <w:szCs w:val="20"/>
          <w:color w:val="auto"/>
        </w:rPr>
        <w:t>” means the requirements relating to the administration of equity incentive plans under U.S. federal and state corporate, securities, tax and other applicable laws, rules and regulations, the applicable rules of any stock exchange or quotation system on which the Shares are listed or quoted and the applicable laws and rules of any foreign country or other jurisdiction where Awards are granted.</w:t>
      </w:r>
    </w:p>
    <w:p>
      <w:pPr>
        <w:sectPr>
          <w:pgSz w:w="11900" w:h="16838" w:orient="portrait"/>
          <w:cols w:equalWidth="0" w:num="1">
            <w:col w:w="10900"/>
          </w:cols>
          <w:pgMar w:left="660" w:top="114"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340" w:firstLine="648"/>
        <w:spacing w:after="0" w:line="287" w:lineRule="auto"/>
        <w:rPr>
          <w:sz w:val="20"/>
          <w:szCs w:val="20"/>
          <w:color w:val="auto"/>
        </w:rPr>
      </w:pPr>
      <w:r>
        <w:rPr>
          <w:rFonts w:ascii="Times New Roman" w:cs="Times New Roman" w:eastAsia="Times New Roman" w:hAnsi="Times New Roman"/>
          <w:sz w:val="20"/>
          <w:szCs w:val="20"/>
          <w:color w:val="auto"/>
        </w:rPr>
        <w:t>11.3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individually or collectively, a grant under the Plan of Options, Stock Appreciation Rights, Restricted Stock, Restricted Stock Units, Dividend Equivalents, or Other Stock or Cash Based Awards.</w:t>
      </w:r>
    </w:p>
    <w:p>
      <w:pPr>
        <w:spacing w:after="0" w:line="138" w:lineRule="exact"/>
        <w:rPr>
          <w:sz w:val="20"/>
          <w:szCs w:val="20"/>
          <w:color w:val="auto"/>
        </w:rPr>
      </w:pPr>
    </w:p>
    <w:p>
      <w:pPr>
        <w:jc w:val="both"/>
        <w:ind w:right="320" w:firstLine="648"/>
        <w:spacing w:after="0" w:line="287" w:lineRule="auto"/>
        <w:rPr>
          <w:sz w:val="20"/>
          <w:szCs w:val="20"/>
          <w:color w:val="auto"/>
        </w:rPr>
      </w:pPr>
      <w:r>
        <w:rPr>
          <w:rFonts w:ascii="Times New Roman" w:cs="Times New Roman" w:eastAsia="Times New Roman" w:hAnsi="Times New Roman"/>
          <w:sz w:val="20"/>
          <w:szCs w:val="20"/>
          <w:color w:val="auto"/>
        </w:rPr>
        <w:t>11.4 “</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agreement evidencing an Award, which may be electronic, that contains such terms and conditions as the Administrator determines, consistent with and subject to the terms and conditions of the Plan.</w:t>
      </w:r>
    </w:p>
    <w:p>
      <w:pPr>
        <w:spacing w:after="0" w:line="152"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Company.</w:t>
      </w:r>
    </w:p>
    <w:p>
      <w:pPr>
        <w:spacing w:after="0" w:line="81" w:lineRule="exact"/>
        <w:rPr>
          <w:sz w:val="20"/>
          <w:szCs w:val="20"/>
          <w:color w:val="auto"/>
        </w:rPr>
      </w:pPr>
    </w:p>
    <w:p>
      <w:pPr>
        <w:jc w:val="both"/>
        <w:ind w:right="320" w:firstLine="648"/>
        <w:spacing w:after="0" w:line="249" w:lineRule="auto"/>
        <w:rPr>
          <w:sz w:val="20"/>
          <w:szCs w:val="20"/>
          <w:color w:val="auto"/>
        </w:rPr>
      </w:pPr>
      <w:r>
        <w:rPr>
          <w:rFonts w:ascii="Times New Roman" w:cs="Times New Roman" w:eastAsia="Times New Roman" w:hAnsi="Times New Roman"/>
          <w:sz w:val="20"/>
          <w:szCs w:val="20"/>
          <w:color w:val="auto"/>
        </w:rPr>
        <w:t>11.6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with respect to a Participant, “Cause” (or any term of similar effect) as defined in such Participant’s employment or service agreement with the Company or an affiliate thereof if such an agreement exists and contains a definition of Cause (or term of similar effect), or, if no such agreement exists or such agreement does not contain a definition of Cause (or term of similar effect), then “Cause” shall mean one or more of the following: (A) failure to perform Participant’s material duties, after written notice of such performance has been given to Participant with 30 days to cure such nonperformance, or any material breach or violation by the Participant of any provision of any agreement or understanding between the Company or any Subsidiary or other affiliate of the Company and the Participant regarding the terms of the Participant’s service as an employee, officer, director or consultant to the Company or a Subsidiary or other affiliate of the Company; (B) the unlawful use (including being under the influence) or possession of illegal drugs by Participant on the premises of the Company or any Subsidiary or while performing Participant’s duties and responsibilities; (C) commission of a felony, a crime of moral turpitude or a misdemeanor involving fraud or dishonesty (for avoidance of doubt, a single driving while intoxicated (or other similar charge) shall not be considered a felony or crime of moral turpitude); (D) the perpetration of any act of fraud, embezzlement, misappropriation or dishonesty against or affecting the Company, any of its affiliates, or any customer, agent or employee thereof; (E) breach of fiduciary duty that causes or would reasonably be expected to cause material harm to the Company or any Subsidiary; (F) insolent or abusive conduct in the workplace, including but not limited to, harassment of others of a racial or sexual nature after notice of such behavior; (G) taking any action which is intended to harm or disparage the Company, holdings, their affiliates, or their reputations, or which would reasonably be expected to lead to unwanted or unfavorable publicity to the Company, holdings or their affiliates; (H) any material violation by the Participant of any law or regulation applicable to the business of the Company or a Subsidiary or other affiliate of the Company; or (I) engaging in any act of material self-dealing without prior notice to and consent by the Board.</w:t>
      </w:r>
    </w:p>
    <w:p>
      <w:pPr>
        <w:spacing w:after="0" w:line="192"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in Control</w:t>
      </w:r>
      <w:r>
        <w:rPr>
          <w:rFonts w:ascii="Times New Roman" w:cs="Times New Roman" w:eastAsia="Times New Roman" w:hAnsi="Times New Roman"/>
          <w:sz w:val="19"/>
          <w:szCs w:val="19"/>
          <w:color w:val="auto"/>
        </w:rPr>
        <w:t>” means and includes each of the following:</w:t>
      </w:r>
    </w:p>
    <w:p>
      <w:pPr>
        <w:spacing w:after="0" w:line="220" w:lineRule="exact"/>
        <w:rPr>
          <w:sz w:val="20"/>
          <w:szCs w:val="20"/>
          <w:color w:val="auto"/>
        </w:rPr>
      </w:pPr>
    </w:p>
    <w:p>
      <w:pPr>
        <w:jc w:val="both"/>
        <w:ind w:right="320" w:firstLine="1288"/>
        <w:spacing w:after="0" w:line="253" w:lineRule="auto"/>
        <w:tabs>
          <w:tab w:leader="none" w:pos="161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Shares to the general public through a registration statement filed with the Securities and Exchange Commission or a transaction or series of transactions that meets the requirements of clauses (i) and (ii) of subsection (c) below)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ectPr>
          <w:pgSz w:w="11900" w:h="16838" w:orient="portrait"/>
          <w:cols w:equalWidth="0" w:num="1">
            <w:col w:w="10900"/>
          </w:cols>
          <w:pgMar w:left="660" w:top="114"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firstLine="1288"/>
        <w:spacing w:after="0" w:line="253" w:lineRule="auto"/>
        <w:tabs>
          <w:tab w:leader="none" w:pos="160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twelve consecutive months, individuals who, at the beginning of such period, constitute the Board together with any new Director(s) (other than a Director designated by a person who shall have entered into an agreement with the Company to effect a transaction described in subsections (a) or (c)) whose election by the Board or nomination for election by the Company’s shareholders was approved by a vote of at least a a majority of the Directors then still in office who either were Directors at the beginning of the twelve month period or whose election or nomination for election was previously so approved, cease for any reason to constitute a majority thereof; or</w:t>
      </w:r>
    </w:p>
    <w:p>
      <w:pPr>
        <w:spacing w:after="0" w:line="192" w:lineRule="exact"/>
        <w:rPr>
          <w:rFonts w:ascii="Times New Roman" w:cs="Times New Roman" w:eastAsia="Times New Roman" w:hAnsi="Times New Roman"/>
          <w:sz w:val="20"/>
          <w:szCs w:val="20"/>
          <w:color w:val="auto"/>
        </w:rPr>
      </w:pPr>
    </w:p>
    <w:p>
      <w:pPr>
        <w:jc w:val="both"/>
        <w:ind w:right="320" w:firstLine="1288"/>
        <w:spacing w:after="0" w:line="258" w:lineRule="auto"/>
        <w:tabs>
          <w:tab w:leader="none" w:pos="161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shares of another entity, in each case other than a transaction:</w:t>
      </w:r>
    </w:p>
    <w:p>
      <w:pPr>
        <w:spacing w:after="0" w:line="37" w:lineRule="exact"/>
        <w:rPr>
          <w:rFonts w:ascii="Times New Roman" w:cs="Times New Roman" w:eastAsia="Times New Roman" w:hAnsi="Times New Roman"/>
          <w:sz w:val="20"/>
          <w:szCs w:val="20"/>
          <w:color w:val="auto"/>
        </w:rPr>
      </w:pPr>
    </w:p>
    <w:p>
      <w:pPr>
        <w:jc w:val="both"/>
        <w:ind w:right="320" w:firstLine="1936"/>
        <w:spacing w:after="0" w:line="251" w:lineRule="auto"/>
        <w:tabs>
          <w:tab w:leader="none" w:pos="2266"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90" w:lineRule="exact"/>
        <w:rPr>
          <w:rFonts w:ascii="Times New Roman" w:cs="Times New Roman" w:eastAsia="Times New Roman" w:hAnsi="Times New Roman"/>
          <w:sz w:val="20"/>
          <w:szCs w:val="20"/>
          <w:color w:val="auto"/>
        </w:rPr>
      </w:pPr>
    </w:p>
    <w:p>
      <w:pPr>
        <w:jc w:val="both"/>
        <w:ind w:right="320" w:firstLine="1936"/>
        <w:spacing w:after="0" w:line="258" w:lineRule="auto"/>
        <w:tabs>
          <w:tab w:leader="none" w:pos="2267"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which no person or group beneficially owns voting securities representing 50% or more of the combined voting power of the Successor Entity;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person or group shall be treated for purposes of this clause (ii) as beneficially owning 50% or more of the combined voting power of the Successor Entity solely as a result of the voting power held in the Company prior to the consummation of the transaction.</w:t>
      </w:r>
    </w:p>
    <w:p>
      <w:pPr>
        <w:spacing w:after="0" w:line="172" w:lineRule="exact"/>
        <w:rPr>
          <w:sz w:val="20"/>
          <w:szCs w:val="20"/>
          <w:color w:val="auto"/>
        </w:rPr>
      </w:pPr>
    </w:p>
    <w:p>
      <w:pPr>
        <w:jc w:val="both"/>
        <w:ind w:right="320" w:firstLine="648"/>
        <w:spacing w:after="0" w:line="257" w:lineRule="auto"/>
        <w:rPr>
          <w:sz w:val="20"/>
          <w:szCs w:val="20"/>
          <w:color w:val="auto"/>
        </w:rPr>
      </w:pPr>
      <w:r>
        <w:rPr>
          <w:rFonts w:ascii="Times New Roman" w:cs="Times New Roman" w:eastAsia="Times New Roman" w:hAnsi="Times New Roman"/>
          <w:sz w:val="20"/>
          <w:szCs w:val="20"/>
          <w:color w:val="auto"/>
        </w:rPr>
        <w:t>Notwithstanding the foregoing, if a Change in Control constitutes a payment event with respect to any Award (or portion of any Award) that provides for the deferral of compensation that is subject to Section 409A, to the extent required to avoid the imposition of additional taxes under Section 409A, the transaction or event described in subsection (a), (b) or (c)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73" w:lineRule="exact"/>
        <w:rPr>
          <w:sz w:val="20"/>
          <w:szCs w:val="20"/>
          <w:color w:val="auto"/>
        </w:rPr>
      </w:pPr>
    </w:p>
    <w:p>
      <w:pPr>
        <w:jc w:val="both"/>
        <w:ind w:right="320" w:firstLine="648"/>
        <w:spacing w:after="0" w:line="257" w:lineRule="auto"/>
        <w:rPr>
          <w:sz w:val="20"/>
          <w:szCs w:val="20"/>
          <w:color w:val="auto"/>
        </w:rPr>
      </w:pPr>
      <w:r>
        <w:rPr>
          <w:rFonts w:ascii="Times New Roman" w:cs="Times New Roman" w:eastAsia="Times New Roman" w:hAnsi="Times New Roman"/>
          <w:sz w:val="20"/>
          <w:szCs w:val="20"/>
          <w:color w:val="auto"/>
        </w:rPr>
        <w:t>The Administrator shall have full and final authority, which shall be exercised in its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69"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Internal Revenue Code of 1986, as amended, and the regulations issued thereunder.</w:t>
      </w:r>
    </w:p>
    <w:p>
      <w:pPr>
        <w:spacing w:after="0" w:line="229" w:lineRule="exact"/>
        <w:rPr>
          <w:sz w:val="20"/>
          <w:szCs w:val="20"/>
          <w:color w:val="auto"/>
        </w:rPr>
      </w:pPr>
    </w:p>
    <w:p>
      <w:pPr>
        <w:jc w:val="both"/>
        <w:ind w:right="320" w:firstLine="648"/>
        <w:spacing w:after="0" w:line="260" w:lineRule="auto"/>
        <w:rPr>
          <w:sz w:val="20"/>
          <w:szCs w:val="20"/>
          <w:color w:val="auto"/>
        </w:rPr>
      </w:pPr>
      <w:r>
        <w:rPr>
          <w:rFonts w:ascii="Times New Roman" w:cs="Times New Roman" w:eastAsia="Times New Roman" w:hAnsi="Times New Roman"/>
          <w:sz w:val="20"/>
          <w:szCs w:val="20"/>
          <w:color w:val="auto"/>
        </w:rPr>
        <w:t>11.9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one or more committees or subcommittees of the Board, which may include one or more Company directors or executive officers, to the extent Applicable Laws permit. To the extent required to comply with the provisions of Rule 16b-3, it is intended that each member of the Committee will be, at the time the Committee takes any action with respect to an Award that is subject to Rule 16b-3, a “non-employee director” within the meaning of Rule 16b-3;</w:t>
      </w:r>
    </w:p>
    <w:p>
      <w:pPr>
        <w:sectPr>
          <w:pgSz w:w="11900" w:h="16838" w:orient="portrait"/>
          <w:cols w:equalWidth="0" w:num="1">
            <w:col w:w="10900"/>
          </w:cols>
          <w:pgMar w:left="660" w:top="114"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20"/>
        <w:spacing w:after="0" w:line="283" w:lineRule="auto"/>
        <w:rPr>
          <w:sz w:val="20"/>
          <w:szCs w:val="20"/>
          <w:color w:val="auto"/>
        </w:rPr>
      </w:pPr>
      <w:r>
        <w:rPr>
          <w:rFonts w:ascii="Times New Roman" w:cs="Times New Roman" w:eastAsia="Times New Roman" w:hAnsi="Times New Roman"/>
          <w:sz w:val="20"/>
          <w:szCs w:val="20"/>
          <w:color w:val="auto"/>
        </w:rPr>
        <w:t>however, a Committee member’s failure to qualify as a “non-employee director” within the meaning of Rule 16b-3 will not invalidate any Award granted by the Committee that is otherwise validly granted under the Plan.</w:t>
      </w:r>
    </w:p>
    <w:p>
      <w:pPr>
        <w:spacing w:after="0" w:line="142" w:lineRule="exact"/>
        <w:rPr>
          <w:sz w:val="20"/>
          <w:szCs w:val="20"/>
          <w:color w:val="auto"/>
        </w:rPr>
      </w:pPr>
    </w:p>
    <w:p>
      <w:pPr>
        <w:jc w:val="both"/>
        <w:ind w:right="340" w:firstLine="648"/>
        <w:spacing w:after="0" w:line="287" w:lineRule="auto"/>
        <w:rPr>
          <w:sz w:val="20"/>
          <w:szCs w:val="20"/>
          <w:color w:val="auto"/>
        </w:rPr>
      </w:pPr>
      <w:r>
        <w:rPr>
          <w:rFonts w:ascii="Times New Roman" w:cs="Times New Roman" w:eastAsia="Times New Roman" w:hAnsi="Times New Roman"/>
          <w:sz w:val="20"/>
          <w:szCs w:val="20"/>
          <w:color w:val="auto"/>
        </w:rPr>
        <w:t>11.10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Class A common stock of the Company (or, if determined by the Administrator, the Class B common stock of the Company), par value $0.00001.</w:t>
      </w:r>
    </w:p>
    <w:p>
      <w:pPr>
        <w:spacing w:after="0" w:line="152"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11.11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means Figure Technology Solutions, Inc., a Nevada incorporated company, or any successor.</w:t>
      </w:r>
    </w:p>
    <w:p>
      <w:pPr>
        <w:spacing w:after="0" w:line="216" w:lineRule="exact"/>
        <w:rPr>
          <w:sz w:val="20"/>
          <w:szCs w:val="20"/>
          <w:color w:val="auto"/>
        </w:rPr>
      </w:pPr>
    </w:p>
    <w:p>
      <w:pPr>
        <w:jc w:val="both"/>
        <w:ind w:right="320" w:firstLine="648"/>
        <w:spacing w:after="0" w:line="260" w:lineRule="auto"/>
        <w:rPr>
          <w:sz w:val="20"/>
          <w:szCs w:val="20"/>
          <w:color w:val="auto"/>
        </w:rPr>
      </w:pPr>
      <w:r>
        <w:rPr>
          <w:rFonts w:ascii="Times New Roman" w:cs="Times New Roman" w:eastAsia="Times New Roman" w:hAnsi="Times New Roman"/>
          <w:sz w:val="20"/>
          <w:szCs w:val="20"/>
          <w:color w:val="auto"/>
        </w:rPr>
        <w:t>11.12 “</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means any person, including any adviser, engaged by the Company or any of its Subsidiaries to render services to such entity if the consultant or adviser: (a) renders bona fide services to the Company; (b) renders services not in connection with the offer or sale of securities in a capital-raising transaction and does not directly or indirectly promote or maintain a market for the Company’s securities; and (c) is a natural person.</w:t>
      </w:r>
    </w:p>
    <w:p>
      <w:pPr>
        <w:spacing w:after="0" w:line="29" w:lineRule="exact"/>
        <w:rPr>
          <w:sz w:val="20"/>
          <w:szCs w:val="20"/>
          <w:color w:val="auto"/>
        </w:rPr>
      </w:pPr>
    </w:p>
    <w:p>
      <w:pPr>
        <w:jc w:val="both"/>
        <w:ind w:right="320" w:firstLine="648"/>
        <w:spacing w:after="0" w:line="263" w:lineRule="auto"/>
        <w:rPr>
          <w:sz w:val="20"/>
          <w:szCs w:val="20"/>
          <w:color w:val="auto"/>
        </w:rPr>
      </w:pPr>
      <w:r>
        <w:rPr>
          <w:rFonts w:ascii="Times New Roman" w:cs="Times New Roman" w:eastAsia="Times New Roman" w:hAnsi="Times New Roman"/>
          <w:sz w:val="20"/>
          <w:szCs w:val="20"/>
          <w:color w:val="auto"/>
        </w:rPr>
        <w:t>11.13 “</w:t>
      </w:r>
      <w:r>
        <w:rPr>
          <w:rFonts w:ascii="Times New Roman" w:cs="Times New Roman" w:eastAsia="Times New Roman" w:hAnsi="Times New Roman"/>
          <w:sz w:val="20"/>
          <w:szCs w:val="20"/>
          <w:b w:val="1"/>
          <w:bCs w:val="1"/>
          <w:i w:val="1"/>
          <w:iCs w:val="1"/>
          <w:color w:val="auto"/>
        </w:rPr>
        <w:t>Designated Beneficiary</w:t>
      </w:r>
      <w:r>
        <w:rPr>
          <w:rFonts w:ascii="Times New Roman" w:cs="Times New Roman" w:eastAsia="Times New Roman" w:hAnsi="Times New Roman"/>
          <w:sz w:val="20"/>
          <w:szCs w:val="20"/>
          <w:color w:val="auto"/>
        </w:rPr>
        <w:t>” means the beneficiary or beneficiaries the Participant designates, in a manner the Administrator determines, to receive amounts due or exercise the Participant’s rights if the Participant dies or becomes incapacitated. Without a Participant’s effective designation, “Designated Beneficiary” will mean the Participant’s estate.</w:t>
      </w:r>
    </w:p>
    <w:p>
      <w:pPr>
        <w:spacing w:after="0" w:line="175"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11.14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Director</w:t>
      </w:r>
      <w:r>
        <w:rPr>
          <w:rFonts w:ascii="Times New Roman" w:cs="Times New Roman" w:eastAsia="Times New Roman" w:hAnsi="Times New Roman"/>
          <w:sz w:val="19"/>
          <w:szCs w:val="19"/>
          <w:color w:val="auto"/>
        </w:rPr>
        <w:t>” means a Board member.</w:t>
      </w:r>
    </w:p>
    <w:p>
      <w:pPr>
        <w:spacing w:after="0" w:line="216" w:lineRule="exact"/>
        <w:rPr>
          <w:sz w:val="20"/>
          <w:szCs w:val="20"/>
          <w:color w:val="auto"/>
        </w:rPr>
      </w:pPr>
    </w:p>
    <w:p>
      <w:pPr>
        <w:jc w:val="both"/>
        <w:ind w:right="320" w:firstLine="648"/>
        <w:spacing w:after="0" w:line="263" w:lineRule="auto"/>
        <w:rPr>
          <w:sz w:val="20"/>
          <w:szCs w:val="20"/>
          <w:color w:val="auto"/>
        </w:rPr>
      </w:pPr>
      <w:r>
        <w:rPr>
          <w:rFonts w:ascii="Times New Roman" w:cs="Times New Roman" w:eastAsia="Times New Roman" w:hAnsi="Times New Roman"/>
          <w:sz w:val="20"/>
          <w:szCs w:val="20"/>
          <w:color w:val="auto"/>
        </w:rPr>
        <w:t>11.15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that the Participant is unable to engage in any substantial gainful activity by reason of any medically determinable physical or mental impairment that can be expected to result in death or can be expected to last for a continuous period of not less than twelve months.</w:t>
      </w:r>
    </w:p>
    <w:p>
      <w:pPr>
        <w:spacing w:after="0" w:line="175" w:lineRule="exact"/>
        <w:rPr>
          <w:sz w:val="20"/>
          <w:szCs w:val="20"/>
          <w:color w:val="auto"/>
        </w:rPr>
      </w:pPr>
    </w:p>
    <w:p>
      <w:pPr>
        <w:jc w:val="both"/>
        <w:ind w:right="320" w:firstLine="648"/>
        <w:spacing w:after="0" w:line="287" w:lineRule="auto"/>
        <w:rPr>
          <w:sz w:val="20"/>
          <w:szCs w:val="20"/>
          <w:color w:val="auto"/>
        </w:rPr>
      </w:pPr>
      <w:r>
        <w:rPr>
          <w:rFonts w:ascii="Times New Roman" w:cs="Times New Roman" w:eastAsia="Times New Roman" w:hAnsi="Times New Roman"/>
          <w:sz w:val="20"/>
          <w:szCs w:val="20"/>
          <w:color w:val="auto"/>
        </w:rPr>
        <w:t>11.16 “</w:t>
      </w:r>
      <w:r>
        <w:rPr>
          <w:rFonts w:ascii="Times New Roman" w:cs="Times New Roman" w:eastAsia="Times New Roman" w:hAnsi="Times New Roman"/>
          <w:sz w:val="20"/>
          <w:szCs w:val="20"/>
          <w:b w:val="1"/>
          <w:bCs w:val="1"/>
          <w:i w:val="1"/>
          <w:iCs w:val="1"/>
          <w:color w:val="auto"/>
        </w:rPr>
        <w:t>Dividend Equivalents</w:t>
      </w:r>
      <w:r>
        <w:rPr>
          <w:rFonts w:ascii="Times New Roman" w:cs="Times New Roman" w:eastAsia="Times New Roman" w:hAnsi="Times New Roman"/>
          <w:sz w:val="20"/>
          <w:szCs w:val="20"/>
          <w:color w:val="auto"/>
        </w:rPr>
        <w:t>” means a right granted to a Participant under the Plan to receive the equivalent value (in cash or Shares) of dividends paid on Shares.</w:t>
      </w:r>
    </w:p>
    <w:p>
      <w:pPr>
        <w:spacing w:after="0" w:line="13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0"/>
          <w:szCs w:val="20"/>
          <w:color w:val="auto"/>
        </w:rPr>
        <w:t>11.17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Employee</w:t>
      </w:r>
      <w:r>
        <w:rPr>
          <w:rFonts w:ascii="Times New Roman" w:cs="Times New Roman" w:eastAsia="Times New Roman" w:hAnsi="Times New Roman"/>
          <w:sz w:val="19"/>
          <w:szCs w:val="19"/>
          <w:color w:val="auto"/>
        </w:rPr>
        <w:t>” means any employee of the Company or its Subsidiaries.</w:t>
      </w:r>
    </w:p>
    <w:p>
      <w:pPr>
        <w:spacing w:after="0" w:line="229" w:lineRule="exact"/>
        <w:rPr>
          <w:sz w:val="20"/>
          <w:szCs w:val="20"/>
          <w:color w:val="auto"/>
        </w:rPr>
      </w:pPr>
    </w:p>
    <w:p>
      <w:pPr>
        <w:jc w:val="both"/>
        <w:ind w:right="320" w:firstLine="648"/>
        <w:spacing w:after="0" w:line="278" w:lineRule="auto"/>
        <w:rPr>
          <w:sz w:val="20"/>
          <w:szCs w:val="20"/>
          <w:color w:val="auto"/>
        </w:rPr>
      </w:pPr>
      <w:r>
        <w:rPr>
          <w:rFonts w:ascii="Times New Roman" w:cs="Times New Roman" w:eastAsia="Times New Roman" w:hAnsi="Times New Roman"/>
          <w:sz w:val="19"/>
          <w:szCs w:val="19"/>
          <w:color w:val="auto"/>
        </w:rPr>
        <w:t>11.18 “</w:t>
      </w:r>
      <w:r>
        <w:rPr>
          <w:rFonts w:ascii="Times New Roman" w:cs="Times New Roman" w:eastAsia="Times New Roman" w:hAnsi="Times New Roman"/>
          <w:sz w:val="19"/>
          <w:szCs w:val="19"/>
          <w:b w:val="1"/>
          <w:bCs w:val="1"/>
          <w:i w:val="1"/>
          <w:iCs w:val="1"/>
          <w:color w:val="auto"/>
        </w:rPr>
        <w:t>Equity Restructuring</w:t>
      </w:r>
      <w:r>
        <w:rPr>
          <w:rFonts w:ascii="Times New Roman" w:cs="Times New Roman" w:eastAsia="Times New Roman" w:hAnsi="Times New Roman"/>
          <w:sz w:val="19"/>
          <w:szCs w:val="19"/>
          <w:color w:val="auto"/>
        </w:rPr>
        <w:t>” means, as determined by the Administrator, a non-reciprocal transaction between the Company and its stockholders, such as a stock dividend, stock split, spin-off or recapitalization through a large, nonrecurring cash dividend, or other large, nonrecurring cash dividend, that affects the Shares (or other securities of the Company) or the share price of Shares (or other securities of the Company) and causes a change in the per share value of the Shares underlying outstanding Awards.</w:t>
      </w:r>
    </w:p>
    <w:p>
      <w:pPr>
        <w:spacing w:after="0" w:line="135"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11.19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Securities Exchange Act of 1934, as amended.</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11.20 “</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xml:space="preserve">” means, as of any date, the value of a Share determined as follows: (a)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w:t>
      </w:r>
      <w:r>
        <w:rPr>
          <w:rFonts w:ascii="Times New Roman" w:cs="Times New Roman" w:eastAsia="Times New Roman" w:hAnsi="Times New Roman"/>
          <w:sz w:val="20"/>
          <w:szCs w:val="20"/>
          <w:i w:val="1"/>
          <w:iCs w:val="1"/>
          <w:color w:val="auto"/>
        </w:rPr>
        <w:t>The Wall Street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Journal </w:t>
      </w:r>
      <w:r>
        <w:rPr>
          <w:rFonts w:ascii="Times New Roman" w:cs="Times New Roman" w:eastAsia="Times New Roman" w:hAnsi="Times New Roman"/>
          <w:sz w:val="20"/>
          <w:szCs w:val="20"/>
          <w:color w:val="auto"/>
        </w:rPr>
        <w:t>or another source the Administrator deems reliable; (b) if the Shares are not traded on a stock exchange but is quoted on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national market or other quotation system, the closing sales price on such date, or if no sales occurred on such date, then on the last date preceding such date during which a sale occurred, as reported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another source the Administrator deems reliable; or (c) without an established market for the Shares, the Administrator will determine the Fair Market Value in its discretion.</w:t>
      </w:r>
    </w:p>
    <w:p>
      <w:pPr>
        <w:sectPr>
          <w:pgSz w:w="11900" w:h="16838" w:orient="portrait"/>
          <w:cols w:equalWidth="0" w:num="1">
            <w:col w:w="10900"/>
          </w:cols>
          <w:pgMar w:left="660" w:top="114"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20"/>
          <w:szCs w:val="20"/>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77" w:lineRule="exact"/>
        <w:rPr>
          <w:sz w:val="20"/>
          <w:szCs w:val="20"/>
          <w:color w:val="auto"/>
        </w:rPr>
      </w:pPr>
    </w:p>
    <w:p>
      <w:pPr>
        <w:jc w:val="both"/>
        <w:ind w:right="320" w:firstLine="648"/>
        <w:spacing w:after="0" w:line="263" w:lineRule="auto"/>
        <w:rPr>
          <w:sz w:val="20"/>
          <w:szCs w:val="20"/>
          <w:color w:val="auto"/>
        </w:rPr>
      </w:pPr>
      <w:r>
        <w:rPr>
          <w:rFonts w:ascii="Times New Roman" w:cs="Times New Roman" w:eastAsia="Times New Roman" w:hAnsi="Times New Roman"/>
          <w:sz w:val="20"/>
          <w:szCs w:val="20"/>
          <w:color w:val="auto"/>
        </w:rPr>
        <w:t>11.21 “</w:t>
      </w:r>
      <w:r>
        <w:rPr>
          <w:rFonts w:ascii="Times New Roman" w:cs="Times New Roman" w:eastAsia="Times New Roman" w:hAnsi="Times New Roman"/>
          <w:sz w:val="20"/>
          <w:szCs w:val="20"/>
          <w:b w:val="1"/>
          <w:bCs w:val="1"/>
          <w:i w:val="1"/>
          <w:iCs w:val="1"/>
          <w:color w:val="auto"/>
        </w:rPr>
        <w:t>Greater Than 10% Stockholder</w:t>
      </w:r>
      <w:r>
        <w:rPr>
          <w:rFonts w:ascii="Times New Roman" w:cs="Times New Roman" w:eastAsia="Times New Roman" w:hAnsi="Times New Roman"/>
          <w:sz w:val="20"/>
          <w:szCs w:val="20"/>
          <w:color w:val="auto"/>
        </w:rPr>
        <w:t>” means an individual then owning (within the meaning of Section 424(d) of the Code) more than 10% of the total combined voting power of all classes of shares of the Company or its parent or subsidiary corporation, as defined in Section 424(e) and (f) of the Code, respectively.</w:t>
      </w:r>
    </w:p>
    <w:p>
      <w:pPr>
        <w:spacing w:after="0" w:line="175" w:lineRule="exact"/>
        <w:rPr>
          <w:sz w:val="20"/>
          <w:szCs w:val="20"/>
          <w:color w:val="auto"/>
        </w:rPr>
      </w:pPr>
    </w:p>
    <w:p>
      <w:pPr>
        <w:jc w:val="both"/>
        <w:ind w:right="340" w:firstLine="648"/>
        <w:spacing w:after="0" w:line="273" w:lineRule="auto"/>
        <w:rPr>
          <w:sz w:val="20"/>
          <w:szCs w:val="20"/>
          <w:color w:val="auto"/>
        </w:rPr>
      </w:pPr>
      <w:r>
        <w:rPr>
          <w:rFonts w:ascii="Times New Roman" w:cs="Times New Roman" w:eastAsia="Times New Roman" w:hAnsi="Times New Roman"/>
          <w:sz w:val="20"/>
          <w:szCs w:val="20"/>
          <w:color w:val="auto"/>
        </w:rPr>
        <w:t>11.22 “</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intended to qualify as an “incentive stock option” as defined in Section 422 of the Code.</w:t>
      </w:r>
    </w:p>
    <w:p>
      <w:pPr>
        <w:spacing w:after="0" w:line="165" w:lineRule="exact"/>
        <w:rPr>
          <w:sz w:val="20"/>
          <w:szCs w:val="20"/>
          <w:color w:val="auto"/>
        </w:rPr>
      </w:pPr>
    </w:p>
    <w:p>
      <w:pPr>
        <w:jc w:val="both"/>
        <w:ind w:right="320" w:firstLine="648"/>
        <w:spacing w:after="0" w:line="287" w:lineRule="auto"/>
        <w:rPr>
          <w:sz w:val="20"/>
          <w:szCs w:val="20"/>
          <w:color w:val="auto"/>
        </w:rPr>
      </w:pPr>
      <w:r>
        <w:rPr>
          <w:rFonts w:ascii="Times New Roman" w:cs="Times New Roman" w:eastAsia="Times New Roman" w:hAnsi="Times New Roman"/>
          <w:sz w:val="20"/>
          <w:szCs w:val="20"/>
          <w:color w:val="auto"/>
        </w:rPr>
        <w:t>11.23 “</w:t>
      </w:r>
      <w:r>
        <w:rPr>
          <w:rFonts w:ascii="Times New Roman" w:cs="Times New Roman" w:eastAsia="Times New Roman" w:hAnsi="Times New Roman"/>
          <w:sz w:val="20"/>
          <w:szCs w:val="20"/>
          <w:b w:val="1"/>
          <w:bCs w:val="1"/>
          <w:i w:val="1"/>
          <w:iCs w:val="1"/>
          <w:color w:val="auto"/>
        </w:rPr>
        <w:t>Non-Qualified Option</w:t>
      </w:r>
      <w:r>
        <w:rPr>
          <w:rFonts w:ascii="Times New Roman" w:cs="Times New Roman" w:eastAsia="Times New Roman" w:hAnsi="Times New Roman"/>
          <w:sz w:val="20"/>
          <w:szCs w:val="20"/>
          <w:color w:val="auto"/>
        </w:rPr>
        <w:t>” means an Option, or portion thereof, not intended or not qualifying as an Incentive Stock Option.</w:t>
      </w:r>
    </w:p>
    <w:p>
      <w:pPr>
        <w:spacing w:after="0" w:line="119"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11.24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Option</w:t>
      </w:r>
      <w:r>
        <w:rPr>
          <w:rFonts w:ascii="Times New Roman" w:cs="Times New Roman" w:eastAsia="Times New Roman" w:hAnsi="Times New Roman"/>
          <w:sz w:val="19"/>
          <w:szCs w:val="19"/>
          <w:color w:val="auto"/>
        </w:rPr>
        <w:t>” means an option to purchase Shares, which will either be an Incentive Stock Option or a Non-Qualified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w:t>
      </w:r>
    </w:p>
    <w:p>
      <w:pPr>
        <w:spacing w:after="0" w:line="163" w:lineRule="exact"/>
        <w:rPr>
          <w:sz w:val="20"/>
          <w:szCs w:val="20"/>
          <w:color w:val="auto"/>
        </w:rPr>
      </w:pPr>
    </w:p>
    <w:p>
      <w:pPr>
        <w:jc w:val="both"/>
        <w:ind w:right="340" w:firstLine="648"/>
        <w:spacing w:after="0" w:line="270" w:lineRule="auto"/>
        <w:rPr>
          <w:sz w:val="20"/>
          <w:szCs w:val="20"/>
          <w:color w:val="auto"/>
        </w:rPr>
      </w:pPr>
      <w:r>
        <w:rPr>
          <w:rFonts w:ascii="Times New Roman" w:cs="Times New Roman" w:eastAsia="Times New Roman" w:hAnsi="Times New Roman"/>
          <w:sz w:val="20"/>
          <w:szCs w:val="20"/>
          <w:color w:val="auto"/>
        </w:rPr>
        <w:t>11.25 “</w:t>
      </w:r>
      <w:r>
        <w:rPr>
          <w:rFonts w:ascii="Times New Roman" w:cs="Times New Roman" w:eastAsia="Times New Roman" w:hAnsi="Times New Roman"/>
          <w:sz w:val="20"/>
          <w:szCs w:val="20"/>
          <w:b w:val="1"/>
          <w:bCs w:val="1"/>
          <w:i w:val="1"/>
          <w:iCs w:val="1"/>
          <w:color w:val="auto"/>
        </w:rPr>
        <w:t>Organizational Documents</w:t>
      </w:r>
      <w:r>
        <w:rPr>
          <w:rFonts w:ascii="Times New Roman" w:cs="Times New Roman" w:eastAsia="Times New Roman" w:hAnsi="Times New Roman"/>
          <w:sz w:val="20"/>
          <w:szCs w:val="20"/>
          <w:color w:val="auto"/>
        </w:rPr>
        <w:t>” shall mean, collectively, (a) the Company’s articles of incorporation,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155" w:lineRule="exact"/>
        <w:rPr>
          <w:sz w:val="20"/>
          <w:szCs w:val="20"/>
          <w:color w:val="auto"/>
        </w:rPr>
      </w:pPr>
    </w:p>
    <w:p>
      <w:pPr>
        <w:jc w:val="both"/>
        <w:ind w:right="320" w:firstLine="648"/>
        <w:spacing w:after="0" w:line="287" w:lineRule="auto"/>
        <w:rPr>
          <w:sz w:val="20"/>
          <w:szCs w:val="20"/>
          <w:color w:val="auto"/>
        </w:rPr>
      </w:pPr>
      <w:r>
        <w:rPr>
          <w:rFonts w:ascii="Times New Roman" w:cs="Times New Roman" w:eastAsia="Times New Roman" w:hAnsi="Times New Roman"/>
          <w:sz w:val="20"/>
          <w:szCs w:val="20"/>
          <w:color w:val="auto"/>
        </w:rPr>
        <w:t>11.26 “</w:t>
      </w:r>
      <w:r>
        <w:rPr>
          <w:rFonts w:ascii="Times New Roman" w:cs="Times New Roman" w:eastAsia="Times New Roman" w:hAnsi="Times New Roman"/>
          <w:sz w:val="20"/>
          <w:szCs w:val="20"/>
          <w:b w:val="1"/>
          <w:bCs w:val="1"/>
          <w:i w:val="1"/>
          <w:iCs w:val="1"/>
          <w:color w:val="auto"/>
        </w:rPr>
        <w:t>Other Stock or Cash Based Awards</w:t>
      </w:r>
      <w:r>
        <w:rPr>
          <w:rFonts w:ascii="Times New Roman" w:cs="Times New Roman" w:eastAsia="Times New Roman" w:hAnsi="Times New Roman"/>
          <w:sz w:val="20"/>
          <w:szCs w:val="20"/>
          <w:color w:val="auto"/>
        </w:rPr>
        <w:t>” means cash awards, awards of Shares, and other awards valued wholly or partially by referring to, or are otherwise based on, Shares or other property awarded to a Participant under Article VII.</w:t>
      </w:r>
    </w:p>
    <w:p>
      <w:pPr>
        <w:spacing w:after="0" w:line="138" w:lineRule="exact"/>
        <w:rPr>
          <w:sz w:val="20"/>
          <w:szCs w:val="20"/>
          <w:color w:val="auto"/>
        </w:rPr>
      </w:pPr>
    </w:p>
    <w:p>
      <w:pPr>
        <w:jc w:val="both"/>
        <w:ind w:right="320" w:firstLine="648"/>
        <w:spacing w:after="0" w:line="254" w:lineRule="auto"/>
        <w:rPr>
          <w:sz w:val="20"/>
          <w:szCs w:val="20"/>
          <w:color w:val="auto"/>
        </w:rPr>
      </w:pPr>
      <w:r>
        <w:rPr>
          <w:rFonts w:ascii="Times New Roman" w:cs="Times New Roman" w:eastAsia="Times New Roman" w:hAnsi="Times New Roman"/>
          <w:sz w:val="20"/>
          <w:szCs w:val="20"/>
          <w:color w:val="auto"/>
        </w:rPr>
        <w:t>11.27 “</w:t>
      </w:r>
      <w:r>
        <w:rPr>
          <w:rFonts w:ascii="Times New Roman" w:cs="Times New Roman" w:eastAsia="Times New Roman" w:hAnsi="Times New Roman"/>
          <w:sz w:val="20"/>
          <w:szCs w:val="20"/>
          <w:b w:val="1"/>
          <w:bCs w:val="1"/>
          <w:i w:val="1"/>
          <w:iCs w:val="1"/>
          <w:color w:val="auto"/>
        </w:rPr>
        <w:t>Overall Share Limit</w:t>
      </w:r>
      <w:r>
        <w:rPr>
          <w:rFonts w:ascii="Times New Roman" w:cs="Times New Roman" w:eastAsia="Times New Roman" w:hAnsi="Times New Roman"/>
          <w:sz w:val="20"/>
          <w:szCs w:val="20"/>
          <w:color w:val="auto"/>
        </w:rPr>
        <w:t>” means the sum of (a) 21,339,615 Shares; (b) any Shares which remain available for issuance under the Prior Plan as of the Effective Date; and (c) any Shares which are subject to Prior Plan Awards as of the Effective Date which, following the Effective Date, become available for issuance under the Plan pursuant to Article IV; and (d) an annual increase on the first day of each calendar year beginning January 1, 2026 and ending on and including January 1, 2035, equal to the lesser of (i) 5% of the aggregate number of shares of Class A Common Stock and Class B Common Stock outstanding (on an as-converted basis) as of the last day of the immediately preceding fiscal year and (ii) such smaller number of Shares as is determined by the Board.</w:t>
      </w:r>
    </w:p>
    <w:p>
      <w:pPr>
        <w:spacing w:after="0" w:line="186"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11.28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means a Service Provider who has been granted an Award.</w:t>
      </w:r>
    </w:p>
    <w:p>
      <w:pPr>
        <w:spacing w:after="0" w:line="216" w:lineRule="exact"/>
        <w:rPr>
          <w:sz w:val="20"/>
          <w:szCs w:val="20"/>
          <w:color w:val="auto"/>
        </w:rPr>
      </w:pPr>
    </w:p>
    <w:p>
      <w:pPr>
        <w:jc w:val="both"/>
        <w:ind w:right="320" w:firstLine="648"/>
        <w:spacing w:after="0" w:line="267" w:lineRule="auto"/>
        <w:rPr>
          <w:sz w:val="20"/>
          <w:szCs w:val="20"/>
          <w:color w:val="auto"/>
        </w:rPr>
      </w:pPr>
      <w:r>
        <w:rPr>
          <w:rFonts w:ascii="Times New Roman" w:cs="Times New Roman" w:eastAsia="Times New Roman" w:hAnsi="Times New Roman"/>
          <w:sz w:val="19"/>
          <w:szCs w:val="19"/>
          <w:color w:val="auto"/>
        </w:rPr>
        <w:t>11.29 “</w:t>
      </w:r>
      <w:r>
        <w:rPr>
          <w:rFonts w:ascii="Times New Roman" w:cs="Times New Roman" w:eastAsia="Times New Roman" w:hAnsi="Times New Roman"/>
          <w:sz w:val="19"/>
          <w:szCs w:val="19"/>
          <w:b w:val="1"/>
          <w:bCs w:val="1"/>
          <w:i w:val="1"/>
          <w:iCs w:val="1"/>
          <w:color w:val="auto"/>
        </w:rPr>
        <w:t>Performance Criteria</w:t>
      </w:r>
      <w:r>
        <w:rPr>
          <w:rFonts w:ascii="Times New Roman" w:cs="Times New Roman" w:eastAsia="Times New Roman" w:hAnsi="Times New Roman"/>
          <w:sz w:val="19"/>
          <w:szCs w:val="19"/>
          <w:color w:val="auto"/>
        </w:rPr>
        <w:t>” means the criteria (and adjustments) that the Administrator may select for an Award to establish performance goals for a performance period, which may include (but is not limited to) the following: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w:t>
      </w:r>
    </w:p>
    <w:p>
      <w:pPr>
        <w:sectPr>
          <w:pgSz w:w="11900" w:h="16838" w:orient="portrait"/>
          <w:cols w:equalWidth="0" w:num="1">
            <w:col w:w="10900"/>
          </w:cols>
          <w:pgMar w:left="660" w:top="114" w:right="339" w:bottom="1440" w:gutter="0" w:footer="0" w:header="0"/>
        </w:sectPr>
      </w:pPr>
    </w:p>
    <w:bookmarkStart w:id="81" w:name="page82"/>
    <w:bookmarkEnd w:id="81"/>
    <w:p>
      <w:pPr>
        <w:spacing w:after="0" w:line="230" w:lineRule="auto"/>
        <w:framePr w:w="520" w:h="419" w:wrap="auto" w:vAnchor="page" w:hAnchor="page" w:x="1260" w:y="531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11.32 Date.</w:t>
      </w: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0" w:lineRule="exact"/>
        <w:rPr>
          <w:rFonts w:ascii="Times New Roman" w:cs="Times New Roman" w:eastAsia="Times New Roman" w:hAnsi="Times New Roman"/>
          <w:sz w:val="19"/>
          <w:szCs w:val="19"/>
          <w:color w:val="auto"/>
        </w:rPr>
      </w:pPr>
    </w:p>
    <w:p>
      <w:pPr>
        <w:spacing w:after="0" w:line="204" w:lineRule="exact"/>
        <w:rPr>
          <w:rFonts w:ascii="Times New Roman" w:cs="Times New Roman" w:eastAsia="Times New Roman" w:hAnsi="Times New Roman"/>
          <w:sz w:val="19"/>
          <w:szCs w:val="19"/>
          <w:color w:val="auto"/>
        </w:rPr>
      </w:pPr>
    </w:p>
    <w:p>
      <w:pPr>
        <w:jc w:val="both"/>
        <w:ind w:right="320"/>
        <w:spacing w:after="0" w:line="250" w:lineRule="auto"/>
        <w:rPr>
          <w:sz w:val="20"/>
          <w:szCs w:val="20"/>
          <w:color w:val="auto"/>
        </w:rPr>
      </w:pPr>
      <w:r>
        <w:rPr>
          <w:rFonts w:ascii="Times New Roman" w:cs="Times New Roman" w:eastAsia="Times New Roman" w:hAnsi="Times New Roman"/>
          <w:sz w:val="20"/>
          <w:szCs w:val="20"/>
          <w:color w:val="auto"/>
        </w:rPr>
        <w:t>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resources management;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the Company’s performance or the performance of a Subsidiary, division, business segment or business unit of the Company or a Subsidiary, or based upon performance relative to performance of other companies or upon comparisons of any of the indicators of performance relative to performance of other companies.</w:t>
      </w:r>
    </w:p>
    <w:p>
      <w:pPr>
        <w:spacing w:after="0" w:line="196" w:lineRule="exact"/>
        <w:rPr>
          <w:rFonts w:ascii="Times New Roman" w:cs="Times New Roman" w:eastAsia="Times New Roman" w:hAnsi="Times New Roman"/>
          <w:sz w:val="19"/>
          <w:szCs w:val="19"/>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11.30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means this Amended and Restated 2025 Incentive Award Plan.</w:t>
      </w:r>
    </w:p>
    <w:p>
      <w:pPr>
        <w:spacing w:after="0" w:line="216" w:lineRule="exact"/>
        <w:rPr>
          <w:rFonts w:ascii="Times New Roman" w:cs="Times New Roman" w:eastAsia="Times New Roman" w:hAnsi="Times New Roman"/>
          <w:sz w:val="19"/>
          <w:szCs w:val="19"/>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11.31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Prior Plan</w:t>
      </w:r>
      <w:r>
        <w:rPr>
          <w:rFonts w:ascii="Times New Roman" w:cs="Times New Roman" w:eastAsia="Times New Roman" w:hAnsi="Times New Roman"/>
          <w:sz w:val="19"/>
          <w:szCs w:val="19"/>
          <w:color w:val="auto"/>
        </w:rPr>
        <w:t>” means the Figure Technologies Inc. 2018 Equity Incentive Plan, as may have been amended.</w:t>
      </w:r>
    </w:p>
    <w:p>
      <w:pPr>
        <w:spacing w:after="0" w:line="229" w:lineRule="exact"/>
        <w:rPr>
          <w:rFonts w:ascii="Times New Roman" w:cs="Times New Roman" w:eastAsia="Times New Roman" w:hAnsi="Times New Roman"/>
          <w:sz w:val="19"/>
          <w:szCs w:val="19"/>
          <w:color w:val="auto"/>
        </w:rPr>
      </w:pPr>
    </w:p>
    <w:p>
      <w:pPr>
        <w:ind w:left="16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Prior Plan Award</w:t>
      </w:r>
      <w:r>
        <w:rPr>
          <w:rFonts w:ascii="Times New Roman" w:cs="Times New Roman" w:eastAsia="Times New Roman" w:hAnsi="Times New Roman"/>
          <w:sz w:val="20"/>
          <w:szCs w:val="20"/>
          <w:color w:val="auto"/>
        </w:rPr>
        <w:t>” means an award outstanding under the Prior Plan as of the Effective</w:t>
      </w:r>
    </w:p>
    <w:p>
      <w:pPr>
        <w:spacing w:after="0" w:line="200" w:lineRule="exact"/>
        <w:rPr>
          <w:rFonts w:ascii="Times New Roman" w:cs="Times New Roman" w:eastAsia="Times New Roman" w:hAnsi="Times New Roman"/>
          <w:sz w:val="19"/>
          <w:szCs w:val="19"/>
          <w:color w:val="auto"/>
        </w:rPr>
      </w:pPr>
    </w:p>
    <w:p>
      <w:pPr>
        <w:spacing w:after="0" w:line="259" w:lineRule="exact"/>
        <w:rPr>
          <w:rFonts w:ascii="Times New Roman" w:cs="Times New Roman" w:eastAsia="Times New Roman" w:hAnsi="Times New Roman"/>
          <w:sz w:val="19"/>
          <w:szCs w:val="19"/>
          <w:color w:val="auto"/>
        </w:rPr>
      </w:pPr>
    </w:p>
    <w:p>
      <w:pPr>
        <w:jc w:val="both"/>
        <w:ind w:right="320" w:firstLine="648"/>
        <w:spacing w:after="0" w:line="287" w:lineRule="auto"/>
        <w:rPr>
          <w:sz w:val="20"/>
          <w:szCs w:val="20"/>
          <w:color w:val="auto"/>
        </w:rPr>
      </w:pPr>
      <w:r>
        <w:rPr>
          <w:rFonts w:ascii="Times New Roman" w:cs="Times New Roman" w:eastAsia="Times New Roman" w:hAnsi="Times New Roman"/>
          <w:sz w:val="20"/>
          <w:szCs w:val="20"/>
          <w:color w:val="auto"/>
        </w:rPr>
        <w:t>11.33 “</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 means Shares awarded to a Participant under Article VI subject to certain vesting conditions and other restrictions.</w:t>
      </w:r>
    </w:p>
    <w:p>
      <w:pPr>
        <w:spacing w:after="0" w:line="138" w:lineRule="exact"/>
        <w:rPr>
          <w:rFonts w:ascii="Times New Roman" w:cs="Times New Roman" w:eastAsia="Times New Roman" w:hAnsi="Times New Roman"/>
          <w:sz w:val="19"/>
          <w:szCs w:val="19"/>
          <w:color w:val="auto"/>
        </w:rPr>
      </w:pPr>
    </w:p>
    <w:p>
      <w:pPr>
        <w:jc w:val="both"/>
        <w:ind w:right="320" w:firstLine="648"/>
        <w:spacing w:after="0" w:line="270" w:lineRule="auto"/>
        <w:rPr>
          <w:sz w:val="20"/>
          <w:szCs w:val="20"/>
          <w:color w:val="auto"/>
        </w:rPr>
      </w:pPr>
      <w:r>
        <w:rPr>
          <w:rFonts w:ascii="Times New Roman" w:cs="Times New Roman" w:eastAsia="Times New Roman" w:hAnsi="Times New Roman"/>
          <w:sz w:val="20"/>
          <w:szCs w:val="20"/>
          <w:color w:val="auto"/>
        </w:rPr>
        <w:t>11.34 “</w:t>
      </w:r>
      <w:r>
        <w:rPr>
          <w:rFonts w:ascii="Times New Roman" w:cs="Times New Roman" w:eastAsia="Times New Roman" w:hAnsi="Times New Roman"/>
          <w:sz w:val="20"/>
          <w:szCs w:val="20"/>
          <w:b w:val="1"/>
          <w:bCs w:val="1"/>
          <w:i w:val="1"/>
          <w:iCs w:val="1"/>
          <w:color w:val="auto"/>
        </w:rPr>
        <w:t>Restricted Stock Unit</w:t>
      </w:r>
      <w:r>
        <w:rPr>
          <w:rFonts w:ascii="Times New Roman" w:cs="Times New Roman" w:eastAsia="Times New Roman" w:hAnsi="Times New Roman"/>
          <w:sz w:val="20"/>
          <w:szCs w:val="20"/>
          <w:color w:val="auto"/>
        </w:rPr>
        <w:t>” means an unfunded, unsecured right to receive, on the applicable settlement date, one Share or an amount in cash or other consideration determined by the Administrator to be of equal value as of such settlement date awarded to a Participant under Article VI subject to certain vesting conditions and other restrictions.</w:t>
      </w:r>
    </w:p>
    <w:p>
      <w:pPr>
        <w:spacing w:after="0" w:line="155" w:lineRule="exact"/>
        <w:rPr>
          <w:rFonts w:ascii="Times New Roman" w:cs="Times New Roman" w:eastAsia="Times New Roman" w:hAnsi="Times New Roman"/>
          <w:sz w:val="19"/>
          <w:szCs w:val="19"/>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20"/>
          <w:szCs w:val="20"/>
          <w:color w:val="auto"/>
        </w:rPr>
        <w:t>11.35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means Rule 16b-3 promulgated under the Exchange Act.</w:t>
      </w:r>
    </w:p>
    <w:p>
      <w:pPr>
        <w:spacing w:after="0" w:line="229" w:lineRule="exact"/>
        <w:rPr>
          <w:rFonts w:ascii="Times New Roman" w:cs="Times New Roman" w:eastAsia="Times New Roman" w:hAnsi="Times New Roman"/>
          <w:sz w:val="19"/>
          <w:szCs w:val="19"/>
          <w:color w:val="auto"/>
        </w:rPr>
      </w:pPr>
    </w:p>
    <w:p>
      <w:pPr>
        <w:jc w:val="both"/>
        <w:ind w:right="320" w:firstLine="648"/>
        <w:spacing w:after="0" w:line="273" w:lineRule="auto"/>
        <w:rPr>
          <w:sz w:val="20"/>
          <w:szCs w:val="20"/>
          <w:color w:val="auto"/>
        </w:rPr>
      </w:pPr>
      <w:r>
        <w:rPr>
          <w:rFonts w:ascii="Times New Roman" w:cs="Times New Roman" w:eastAsia="Times New Roman" w:hAnsi="Times New Roman"/>
          <w:sz w:val="20"/>
          <w:szCs w:val="20"/>
          <w:color w:val="auto"/>
        </w:rPr>
        <w:t>11.36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all regulations, guidance, compliance programs and other interpretative authority thereunder.</w:t>
      </w:r>
    </w:p>
    <w:p>
      <w:pPr>
        <w:spacing w:after="0" w:line="165" w:lineRule="exact"/>
        <w:rPr>
          <w:rFonts w:ascii="Times New Roman" w:cs="Times New Roman" w:eastAsia="Times New Roman" w:hAnsi="Times New Roman"/>
          <w:sz w:val="19"/>
          <w:szCs w:val="19"/>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0"/>
          <w:szCs w:val="20"/>
          <w:color w:val="auto"/>
        </w:rPr>
        <w:t>11.37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Securities Act</w:t>
      </w:r>
      <w:r>
        <w:rPr>
          <w:rFonts w:ascii="Times New Roman" w:cs="Times New Roman" w:eastAsia="Times New Roman" w:hAnsi="Times New Roman"/>
          <w:sz w:val="19"/>
          <w:szCs w:val="19"/>
          <w:color w:val="auto"/>
        </w:rPr>
        <w:t>” means the Securities Act of 1933, as amended.</w:t>
      </w:r>
    </w:p>
    <w:p>
      <w:pPr>
        <w:spacing w:after="0" w:line="216" w:lineRule="exact"/>
        <w:rPr>
          <w:rFonts w:ascii="Times New Roman" w:cs="Times New Roman" w:eastAsia="Times New Roman" w:hAnsi="Times New Roman"/>
          <w:sz w:val="19"/>
          <w:szCs w:val="19"/>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0"/>
          <w:szCs w:val="20"/>
          <w:color w:val="auto"/>
        </w:rPr>
        <w:t>11.38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Service Provider</w:t>
      </w:r>
      <w:r>
        <w:rPr>
          <w:rFonts w:ascii="Times New Roman" w:cs="Times New Roman" w:eastAsia="Times New Roman" w:hAnsi="Times New Roman"/>
          <w:sz w:val="19"/>
          <w:szCs w:val="19"/>
          <w:color w:val="auto"/>
        </w:rPr>
        <w:t>” means an Employee, Consultant or Director.</w:t>
      </w:r>
    </w:p>
    <w:p>
      <w:pPr>
        <w:spacing w:after="0" w:line="229" w:lineRule="exact"/>
        <w:rPr>
          <w:rFonts w:ascii="Times New Roman" w:cs="Times New Roman" w:eastAsia="Times New Roman" w:hAnsi="Times New Roman"/>
          <w:sz w:val="19"/>
          <w:szCs w:val="19"/>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0"/>
          <w:szCs w:val="20"/>
          <w:color w:val="auto"/>
        </w:rPr>
        <w:t>11.39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19"/>
          <w:szCs w:val="19"/>
          <w:color w:val="auto"/>
        </w:rPr>
        <w:t>” means shares of Common Stock.</w:t>
      </w:r>
    </w:p>
    <w:p>
      <w:pPr>
        <w:spacing w:after="0" w:line="229" w:lineRule="exact"/>
        <w:rPr>
          <w:rFonts w:ascii="Times New Roman" w:cs="Times New Roman" w:eastAsia="Times New Roman" w:hAnsi="Times New Roman"/>
          <w:sz w:val="19"/>
          <w:szCs w:val="19"/>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20"/>
          <w:szCs w:val="20"/>
          <w:color w:val="auto"/>
        </w:rPr>
        <w:t>11.40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w:t>
      </w:r>
      <w:r>
        <w:rPr>
          <w:rFonts w:ascii="Times New Roman" w:cs="Times New Roman" w:eastAsia="Times New Roman" w:hAnsi="Times New Roman"/>
          <w:sz w:val="19"/>
          <w:szCs w:val="19"/>
          <w:color w:val="auto"/>
        </w:rPr>
        <w:t>” means a stock appreciation right granted under Article V.</w:t>
      </w:r>
    </w:p>
    <w:p>
      <w:pPr>
        <w:spacing w:after="0" w:line="202" w:lineRule="exact"/>
        <w:rPr>
          <w:rFonts w:ascii="Times New Roman" w:cs="Times New Roman" w:eastAsia="Times New Roman" w:hAnsi="Times New Roman"/>
          <w:sz w:val="19"/>
          <w:szCs w:val="19"/>
          <w:color w:val="auto"/>
        </w:rPr>
      </w:pPr>
    </w:p>
    <w:p>
      <w:pPr>
        <w:jc w:val="right"/>
        <w:ind w:left="640" w:right="200"/>
        <w:spacing w:after="0" w:line="236" w:lineRule="auto"/>
        <w:rPr>
          <w:sz w:val="20"/>
          <w:szCs w:val="20"/>
          <w:color w:val="auto"/>
        </w:rPr>
      </w:pPr>
      <w:r>
        <w:rPr>
          <w:rFonts w:ascii="Times New Roman" w:cs="Times New Roman" w:eastAsia="Times New Roman" w:hAnsi="Times New Roman"/>
          <w:sz w:val="19"/>
          <w:szCs w:val="19"/>
          <w:color w:val="auto"/>
        </w:rPr>
        <w:t>11.41  “</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means any entity (other than the Company), whether domestic or foreign, in an unbroken chain of entities beginning with the Company if each of the entities other than the last entity in the unbroken chain beneficially owns, at</w:t>
      </w:r>
    </w:p>
    <w:p>
      <w:pPr>
        <w:spacing w:after="0" w:line="1" w:lineRule="exact"/>
        <w:rPr>
          <w:rFonts w:ascii="Times New Roman" w:cs="Times New Roman" w:eastAsia="Times New Roman" w:hAnsi="Times New Roman"/>
          <w:sz w:val="19"/>
          <w:szCs w:val="19"/>
          <w:color w:val="auto"/>
        </w:rPr>
      </w:pPr>
    </w:p>
    <w:p>
      <w:pPr>
        <w:ind w:left="1280" w:right="300"/>
        <w:spacing w:after="0" w:line="221" w:lineRule="auto"/>
        <w:rPr>
          <w:sz w:val="20"/>
          <w:szCs w:val="20"/>
          <w:color w:val="auto"/>
        </w:rPr>
      </w:pPr>
      <w:r>
        <w:rPr>
          <w:rFonts w:ascii="Times New Roman" w:cs="Times New Roman" w:eastAsia="Times New Roman" w:hAnsi="Times New Roman"/>
          <w:sz w:val="20"/>
          <w:szCs w:val="20"/>
          <w:color w:val="auto"/>
        </w:rPr>
        <w:t>the time of the determination, securities or interests representing at least 50% of the total combined voting power of all classes of securities or interests in one of the other entities in such chain.</w:t>
      </w:r>
    </w:p>
    <w:p>
      <w:pPr>
        <w:sectPr>
          <w:pgSz w:w="11900" w:h="16838" w:orient="portrait"/>
          <w:cols w:equalWidth="0" w:num="1">
            <w:col w:w="10900"/>
          </w:cols>
          <w:pgMar w:left="660" w:top="114"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620" w:right="380" w:hanging="646"/>
        <w:spacing w:after="0" w:line="232" w:lineRule="auto"/>
        <w:tabs>
          <w:tab w:leader="none" w:pos="600" w:val="left"/>
        </w:tabs>
        <w:rPr>
          <w:sz w:val="20"/>
          <w:szCs w:val="20"/>
          <w:color w:val="auto"/>
        </w:rPr>
      </w:pPr>
      <w:r>
        <w:rPr>
          <w:rFonts w:ascii="Times New Roman" w:cs="Times New Roman" w:eastAsia="Times New Roman" w:hAnsi="Times New Roman"/>
          <w:sz w:val="20"/>
          <w:szCs w:val="20"/>
          <w:color w:val="auto"/>
        </w:rPr>
        <w:t>11.42</w:t>
        <w:tab/>
        <w:t>“</w:t>
      </w:r>
      <w:r>
        <w:rPr>
          <w:rFonts w:ascii="Times New Roman" w:cs="Times New Roman" w:eastAsia="Times New Roman" w:hAnsi="Times New Roman"/>
          <w:sz w:val="20"/>
          <w:szCs w:val="20"/>
          <w:b w:val="1"/>
          <w:bCs w:val="1"/>
          <w:i w:val="1"/>
          <w:iCs w:val="1"/>
          <w:color w:val="auto"/>
        </w:rPr>
        <w:t>Substitute Awards</w:t>
      </w:r>
      <w:r>
        <w:rPr>
          <w:rFonts w:ascii="Times New Roman" w:cs="Times New Roman" w:eastAsia="Times New Roman" w:hAnsi="Times New Roman"/>
          <w:sz w:val="20"/>
          <w:szCs w:val="20"/>
          <w:color w:val="auto"/>
        </w:rPr>
        <w:t>” means Awards granted or Shares issued by the Company in assumption of, or in substitution or exchange for, awards previously granted, or the right or obligation to make future awards, in each case by a company acquired by the Company or any Subsidiary or with which the Company or any Subsidiary combines.</w:t>
      </w:r>
    </w:p>
    <w:p>
      <w:pPr>
        <w:spacing w:after="0" w:line="15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11.43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Termination of Service</w:t>
      </w:r>
      <w:r>
        <w:rPr>
          <w:rFonts w:ascii="Times New Roman" w:cs="Times New Roman" w:eastAsia="Times New Roman" w:hAnsi="Times New Roman"/>
          <w:sz w:val="19"/>
          <w:szCs w:val="19"/>
          <w:color w:val="auto"/>
        </w:rPr>
        <w:t>” means the date the Participant ceases to be a Service Provider.</w:t>
      </w:r>
    </w:p>
    <w:p>
      <w:pPr>
        <w:spacing w:after="0" w:line="22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 * * * *</w:t>
      </w:r>
    </w:p>
    <w:p>
      <w:pPr>
        <w:sectPr>
          <w:pgSz w:w="11900" w:h="16838" w:orient="portrait"/>
          <w:cols w:equalWidth="0" w:num="1">
            <w:col w:w="10260"/>
          </w:cols>
          <w:pgMar w:left="1300" w:top="114"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14, 2026</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Stevens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email delivery</w:t>
      </w:r>
    </w:p>
    <w:p>
      <w:pPr>
        <w:spacing w:after="0" w:line="23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Re:</w:t>
        <w:tab/>
        <w:t>Severance &amp; Non-Competition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Todd,</w:t>
      </w:r>
    </w:p>
    <w:p>
      <w:pPr>
        <w:spacing w:after="0" w:line="221" w:lineRule="exact"/>
        <w:rPr>
          <w:sz w:val="20"/>
          <w:szCs w:val="20"/>
          <w:color w:val="auto"/>
        </w:rPr>
      </w:pPr>
    </w:p>
    <w:p>
      <w:pPr>
        <w:jc w:val="both"/>
        <w:ind w:firstLine="182"/>
        <w:spacing w:after="0" w:line="256" w:lineRule="auto"/>
        <w:rPr>
          <w:sz w:val="20"/>
          <w:szCs w:val="20"/>
          <w:color w:val="auto"/>
        </w:rPr>
      </w:pPr>
      <w:r>
        <w:rPr>
          <w:rFonts w:ascii="Times New Roman" w:cs="Times New Roman" w:eastAsia="Times New Roman" w:hAnsi="Times New Roman"/>
          <w:sz w:val="18"/>
          <w:szCs w:val="18"/>
          <w:color w:val="auto"/>
        </w:rPr>
        <w:t>Reference is made to the Figure Technology Solutions, Inc. 2018 Equity Incentive Plan (as amended and/or restated from time to time, the “</w:t>
      </w:r>
      <w:r>
        <w:rPr>
          <w:rFonts w:ascii="Times New Roman" w:cs="Times New Roman" w:eastAsia="Times New Roman" w:hAnsi="Times New Roman"/>
          <w:sz w:val="18"/>
          <w:szCs w:val="18"/>
          <w:b w:val="1"/>
          <w:bCs w:val="1"/>
          <w:i w:val="1"/>
          <w:iCs w:val="1"/>
          <w:color w:val="auto"/>
        </w:rPr>
        <w:t>2018 Plan</w:t>
      </w:r>
      <w:r>
        <w:rPr>
          <w:rFonts w:ascii="Times New Roman" w:cs="Times New Roman" w:eastAsia="Times New Roman" w:hAnsi="Times New Roman"/>
          <w:sz w:val="18"/>
          <w:szCs w:val="18"/>
          <w:color w:val="auto"/>
        </w:rPr>
        <w:t>”), the Figure Markets Holdings, Inc. 2024 Equity Incentive Plan (as amended and/or restated from time to time, the “</w:t>
      </w:r>
      <w:r>
        <w:rPr>
          <w:rFonts w:ascii="Times New Roman" w:cs="Times New Roman" w:eastAsia="Times New Roman" w:hAnsi="Times New Roman"/>
          <w:sz w:val="18"/>
          <w:szCs w:val="18"/>
          <w:b w:val="1"/>
          <w:bCs w:val="1"/>
          <w:i w:val="1"/>
          <w:iCs w:val="1"/>
          <w:color w:val="auto"/>
        </w:rPr>
        <w:t>2024 Plan</w:t>
      </w:r>
      <w:r>
        <w:rPr>
          <w:rFonts w:ascii="Times New Roman" w:cs="Times New Roman" w:eastAsia="Times New Roman" w:hAnsi="Times New Roman"/>
          <w:sz w:val="18"/>
          <w:szCs w:val="18"/>
          <w:color w:val="auto"/>
        </w:rPr>
        <w:t>”) and the Figure Technology Solutions, Inc. 2025 Incentive Award Plan (as amended and/or restated from time to time, the “</w:t>
      </w:r>
      <w:r>
        <w:rPr>
          <w:rFonts w:ascii="Times New Roman" w:cs="Times New Roman" w:eastAsia="Times New Roman" w:hAnsi="Times New Roman"/>
          <w:sz w:val="18"/>
          <w:szCs w:val="18"/>
          <w:b w:val="1"/>
          <w:bCs w:val="1"/>
          <w:i w:val="1"/>
          <w:iCs w:val="1"/>
          <w:color w:val="auto"/>
        </w:rPr>
        <w:t>2025 Plan</w:t>
      </w:r>
      <w:r>
        <w:rPr>
          <w:rFonts w:ascii="Times New Roman" w:cs="Times New Roman" w:eastAsia="Times New Roman" w:hAnsi="Times New Roman"/>
          <w:sz w:val="18"/>
          <w:szCs w:val="18"/>
          <w:color w:val="auto"/>
        </w:rPr>
        <w:t>”, and together with the 2018 Plan, the 2024 Plan and any successor plans, the “</w:t>
      </w:r>
      <w:r>
        <w:rPr>
          <w:rFonts w:ascii="Times New Roman" w:cs="Times New Roman" w:eastAsia="Times New Roman" w:hAnsi="Times New Roman"/>
          <w:sz w:val="18"/>
          <w:szCs w:val="18"/>
          <w:b w:val="1"/>
          <w:bCs w:val="1"/>
          <w:i w:val="1"/>
          <w:iCs w:val="1"/>
          <w:color w:val="auto"/>
        </w:rPr>
        <w:t>Incentive Plans</w:t>
      </w:r>
      <w:r>
        <w:rPr>
          <w:rFonts w:ascii="Times New Roman" w:cs="Times New Roman" w:eastAsia="Times New Roman" w:hAnsi="Times New Roman"/>
          <w:sz w:val="18"/>
          <w:szCs w:val="18"/>
          <w:color w:val="auto"/>
        </w:rPr>
        <w:t>”). As you know, you have been granted certain equity-based awards under one or more of the Incentive Plans, subject to the terms of the applicable Incentive Plan and an applicable award agreement and may be granted additional equity-based awards in the future. The Company has agreed to modify the terms of your currently outstanding and unvested Equity-Based Awards and provide for the following treatment with respect to any future Equity-Based Awards you may be granted (your “</w:t>
      </w:r>
      <w:r>
        <w:rPr>
          <w:rFonts w:ascii="Times New Roman" w:cs="Times New Roman" w:eastAsia="Times New Roman" w:hAnsi="Times New Roman"/>
          <w:sz w:val="18"/>
          <w:szCs w:val="18"/>
          <w:b w:val="1"/>
          <w:bCs w:val="1"/>
          <w:i w:val="1"/>
          <w:iCs w:val="1"/>
          <w:color w:val="auto"/>
        </w:rPr>
        <w:t>Equity-Based Awards</w:t>
      </w:r>
      <w:r>
        <w:rPr>
          <w:rFonts w:ascii="Times New Roman" w:cs="Times New Roman" w:eastAsia="Times New Roman" w:hAnsi="Times New Roman"/>
          <w:sz w:val="18"/>
          <w:szCs w:val="18"/>
          <w:color w:val="auto"/>
        </w:rPr>
        <w:t>”) as follows.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standard vesting schedule of your Equity-Based Awards, in the event that your continuous status as a service provider of the Company (or any subsidiary or affiliate of the Company) is terminated by the Company without Cause (as defined in the 2025 Plan) or if you resign for Good Reason (as defined below), in each case, within twelve (12) months of a Change in Control (as defined in the 2025 Plan), 100% of the unvested portion of any Equity-Based Awards outstanding as of your termination date shall immediately and automatically become fully vested and non-forfeitable (the “</w:t>
      </w:r>
      <w:r>
        <w:rPr>
          <w:rFonts w:ascii="Times New Roman" w:cs="Times New Roman" w:eastAsia="Times New Roman" w:hAnsi="Times New Roman"/>
          <w:sz w:val="18"/>
          <w:szCs w:val="18"/>
          <w:b w:val="1"/>
          <w:bCs w:val="1"/>
          <w:i w:val="1"/>
          <w:iCs w:val="1"/>
          <w:color w:val="auto"/>
        </w:rPr>
        <w:t>Vesting Acceleration</w:t>
      </w:r>
      <w:r>
        <w:rPr>
          <w:rFonts w:ascii="Times New Roman" w:cs="Times New Roman" w:eastAsia="Times New Roman" w:hAnsi="Times New Roman"/>
          <w:sz w:val="18"/>
          <w:szCs w:val="18"/>
          <w:color w:val="auto"/>
        </w:rPr>
        <w:t>”); provided however, that the Vesting Acceleration is subject in all respects to (i) your timely execution of a release of claims in favor of the Company and its affiliates, in form and substance reasonably acceptable to the Company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and such Release becoming effective within sixty (60) days following your termination date, and (ii) your continuous compliance with the terms of this letter agreement and the Release (collectively, the “</w:t>
      </w:r>
      <w:r>
        <w:rPr>
          <w:rFonts w:ascii="Times New Roman" w:cs="Times New Roman" w:eastAsia="Times New Roman" w:hAnsi="Times New Roman"/>
          <w:sz w:val="18"/>
          <w:szCs w:val="18"/>
          <w:b w:val="1"/>
          <w:bCs w:val="1"/>
          <w:i w:val="1"/>
          <w:iCs w:val="1"/>
          <w:color w:val="auto"/>
        </w:rPr>
        <w:t>Release Requirement</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letter Agreement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without your consent and subject to the notice, cure and other requirements set forth below: (i) a material diminution of your base salary, unless such diminution is part of a generalized salary reduction affecting similarly situated employees; provided that a diminution of 10% or less in any one calendar year will not be deemed material; (ii) a material diminution of your authority, duties or responsibilities as an employee relative to such authority, duties or responsibilities in effect immediately prior to such diminution; provided that your authority, duties and responsibilities will not be deemed to be materially reduced if you have reasonably comparable authority, duties and responsibilities as an employee with respect to the Company’s business following a Change of Control, regardless of any change in title or whether you subsequently provide services to a subsidiary, affiliate, business unit, division or otherwise; (iii) a material change in the principal geographic location at which you must perform services for the Company (your relocation to a facility or a location that would not increase your one-way commute distance by more than 35 miles from your then principal residence shall not be considered a material change in geographic location); or (iv) a material breach by the Company of the agreement under which you provide services to the Company.</w:t>
      </w:r>
    </w:p>
    <w:p>
      <w:pPr>
        <w:spacing w:after="0" w:line="18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Additionally, in the event that your service is terminated by the Company without Cause and you comply with the Release Requirement, you shall receive twelve (12) months of continued payment of your base salary (as in effect on your date of termination), less applicable tax withholding, (the “</w:t>
      </w:r>
      <w:r>
        <w:rPr>
          <w:rFonts w:ascii="Times New Roman" w:cs="Times New Roman" w:eastAsia="Times New Roman" w:hAnsi="Times New Roman"/>
          <w:sz w:val="18"/>
          <w:szCs w:val="18"/>
          <w:b w:val="1"/>
          <w:bCs w:val="1"/>
          <w:i w:val="1"/>
          <w:iCs w:val="1"/>
          <w:color w:val="auto"/>
        </w:rPr>
        <w:t>Severance Payments</w:t>
      </w:r>
      <w:r>
        <w:rPr>
          <w:rFonts w:ascii="Times New Roman" w:cs="Times New Roman" w:eastAsia="Times New Roman" w:hAnsi="Times New Roman"/>
          <w:sz w:val="18"/>
          <w:szCs w:val="18"/>
          <w:color w:val="auto"/>
        </w:rPr>
        <w:t>”) beginning on your termination date; provided that no such payment will be made until the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following your termination date (with any accumulated amounts being paid on such sixtieth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w:t>
      </w:r>
    </w:p>
    <w:p>
      <w:pPr>
        <w:sectPr>
          <w:pgSz w:w="11900" w:h="16838" w:orient="portrait"/>
          <w:cols w:equalWidth="0" w:num="1">
            <w:col w:w="11240"/>
          </w:cols>
          <w:pgMar w:left="320" w:top="117" w:right="339" w:bottom="1440" w:gutter="0" w:footer="0" w:header="0"/>
        </w:sectPr>
      </w:pPr>
    </w:p>
    <w:bookmarkStart w:id="84" w:name="page85"/>
    <w:bookmarkEnd w:id="84"/>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exchange for your right to the Vesting Acceleration and the Severance Payments, you hereby agree that during the course of your employment with the Company and for a period of twelve (12) months immediately following the termination of your service relationship with the Company, whether you resign voluntarily or are terminated by the Company involuntarily, you will not, without the prior written consent of the Company, whether paid or not:</w:t>
      </w:r>
    </w:p>
    <w:p>
      <w:pPr>
        <w:spacing w:after="0" w:line="1" w:lineRule="exact"/>
        <w:rPr>
          <w:sz w:val="20"/>
          <w:szCs w:val="20"/>
          <w:color w:val="auto"/>
        </w:rPr>
      </w:pPr>
    </w:p>
    <w:p>
      <w:pPr>
        <w:jc w:val="both"/>
        <w:ind w:firstLine="8"/>
        <w:spacing w:after="0" w:line="251" w:lineRule="auto"/>
        <w:tabs>
          <w:tab w:leader="none" w:pos="24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the Covered Business (as defined below). The foregoing covenant shall cover your activities in every part of the Territory (as defined below). Should you obtain other employment during your employment with the Company or within twelve (12) months immediately following the termination of your service relationship with the Company, you agree to provide written notification to the Company as to the name and address of your new employer, the position that you expect to hold, and a general description of your duties and responsibilities, at least three (3) business days prior to starting such employment.</w:t>
      </w:r>
    </w:p>
    <w:p>
      <w:pPr>
        <w:spacing w:after="0" w:line="190"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For the purposes of this letter agreement, “</w:t>
      </w:r>
      <w:r>
        <w:rPr>
          <w:rFonts w:ascii="Times New Roman" w:cs="Times New Roman" w:eastAsia="Times New Roman" w:hAnsi="Times New Roman"/>
          <w:sz w:val="18"/>
          <w:szCs w:val="18"/>
          <w:b w:val="1"/>
          <w:bCs w:val="1"/>
          <w:i w:val="1"/>
          <w:iCs w:val="1"/>
          <w:color w:val="auto"/>
        </w:rPr>
        <w:t>Covered Business</w:t>
      </w:r>
      <w:r>
        <w:rPr>
          <w:rFonts w:ascii="Times New Roman" w:cs="Times New Roman" w:eastAsia="Times New Roman" w:hAnsi="Times New Roman"/>
          <w:sz w:val="18"/>
          <w:szCs w:val="18"/>
          <w:color w:val="auto"/>
        </w:rPr>
        <w:t>” means any business in which the Company is engaged or in which the Company has plans to be engaged, or any service that the Company provides or has plans to provide.</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For purposes of this letter agreement, “</w:t>
      </w:r>
      <w:r>
        <w:rPr>
          <w:rFonts w:ascii="Times New Roman" w:cs="Times New Roman" w:eastAsia="Times New Roman" w:hAnsi="Times New Roman"/>
          <w:sz w:val="18"/>
          <w:szCs w:val="18"/>
          <w:b w:val="1"/>
          <w:bCs w:val="1"/>
          <w:i w:val="1"/>
          <w:iCs w:val="1"/>
          <w:color w:val="auto"/>
        </w:rPr>
        <w:t>Territory</w:t>
      </w:r>
      <w:r>
        <w:rPr>
          <w:rFonts w:ascii="Times New Roman" w:cs="Times New Roman" w:eastAsia="Times New Roman" w:hAnsi="Times New Roman"/>
          <w:sz w:val="18"/>
          <w:szCs w:val="18"/>
          <w:color w:val="auto"/>
        </w:rPr>
        <w:t>” means (i) all counties in the state or commonwealth in which you perform services for the Company at the commencement of your employment with the Company; (ii) all other states of the United States of America in which the Company provided goods or services, had customers, or otherwise conducted business at any time during the two-year period prior to the date of the termination of your relationship with the Company; and (iii) any other countries from which the Company provided goods or services, had customers, or otherwise conducted business at any time during the two-year period prior to the date of the termination of your relationship with the Company.</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letter agreement is not intended to and does not change in any way the at-will nature of your employment and may be amended only by an instrument in writing signed by the parties hereto, and any provision hereof may be waived only by an instrument in writing signed by the party against whom or which enforcement of such waiver is sought. This letter agreement is binding on and is for the benefit of the parties hereto and their respective successors, assigns, heirs, executors, administrators and other legal representatives. You may not assign, transfer, alienate, sell, pledge or encumber, whether voluntarily, involuntarily or by operation of law, any of your rights under this letter agreement. This letter agreement shall be governed by and construed in accordance with the laws of the State of Nevada, without regard to any conflict of law principles. This letter agreement constitutes the entire agreement among the parties hereto with respect to the subject matter hereof, and supersedes any prior understandings or agreements with respect thereto. This letter agreement may be executed in several counterparts, each of which shall be deemed an original, but all of which shall constitute one and the same instrument. A .pdf or other electronic signature shall be deemed to be and have the effect of an original signature.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Please indicate your acknowledgement of, and agreement with, the foregoing by countersigning this letter in the space provided below and returning the same via email to Ronald Chillemi at the Company at rchillemi@figure.com.</w:t>
      </w:r>
    </w:p>
    <w:p>
      <w:pPr>
        <w:sectPr>
          <w:pgSz w:w="11900" w:h="16838" w:orient="portrait"/>
          <w:cols w:equalWidth="0" w:num="1">
            <w:col w:w="11240"/>
          </w:cols>
          <w:pgMar w:left="320" w:top="1417" w:right="3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Sincerely,</w:t>
      </w:r>
    </w:p>
    <w:p>
      <w:pPr>
        <w:spacing w:after="0" w:line="262" w:lineRule="exact"/>
        <w:rPr>
          <w:sz w:val="20"/>
          <w:szCs w:val="20"/>
          <w:color w:val="auto"/>
        </w:rPr>
      </w:pPr>
    </w:p>
    <w:p>
      <w:pPr>
        <w:jc w:val="right"/>
        <w:ind w:right="2619"/>
        <w:spacing w:after="0"/>
        <w:rPr>
          <w:sz w:val="20"/>
          <w:szCs w:val="20"/>
          <w:color w:val="auto"/>
        </w:rPr>
      </w:pPr>
      <w:r>
        <w:rPr>
          <w:rFonts w:ascii="Times New Roman" w:cs="Times New Roman" w:eastAsia="Times New Roman" w:hAnsi="Times New Roman"/>
          <w:sz w:val="18"/>
          <w:szCs w:val="18"/>
          <w:b w:val="1"/>
          <w:bCs w:val="1"/>
          <w:color w:val="auto"/>
        </w:rPr>
        <w:t>FIGURE TECHNOLOGY SOLUTIONS, INC.</w:t>
      </w:r>
    </w:p>
    <w:p>
      <w:pPr>
        <w:spacing w:after="0" w:line="200" w:lineRule="exact"/>
        <w:rPr>
          <w:sz w:val="20"/>
          <w:szCs w:val="20"/>
          <w:color w:val="auto"/>
        </w:rPr>
      </w:pPr>
    </w:p>
    <w:p>
      <w:pPr>
        <w:spacing w:after="0" w:line="299"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18"/>
          <w:szCs w:val="18"/>
          <w:color w:val="auto"/>
        </w:rPr>
        <w:t>By:</w:t>
        <w:tab/>
        <w:t>/s/ Ronald Chillemi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-7620</wp:posOffset>
            </wp:positionV>
            <wp:extent cx="9232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7" w:lineRule="exact"/>
        <w:rPr>
          <w:sz w:val="20"/>
          <w:szCs w:val="20"/>
          <w:color w:val="auto"/>
        </w:rPr>
      </w:pPr>
    </w:p>
    <w:p>
      <w:pPr>
        <w:ind w:left="3900"/>
        <w:spacing w:after="0"/>
        <w:tabs>
          <w:tab w:leader="none" w:pos="45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u w:val="single" w:color="auto"/>
          <w:color w:val="auto"/>
        </w:rPr>
        <w:t>Ronald Chillemi</w:t>
      </w:r>
    </w:p>
    <w:p>
      <w:pPr>
        <w:spacing w:after="0" w:line="9" w:lineRule="exact"/>
        <w:rPr>
          <w:sz w:val="20"/>
          <w:szCs w:val="20"/>
          <w:color w:val="auto"/>
        </w:rPr>
      </w:pPr>
    </w:p>
    <w:p>
      <w:pPr>
        <w:ind w:left="3900"/>
        <w:spacing w:after="0"/>
        <w:tabs>
          <w:tab w:leader="none" w:pos="44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Chief Legal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Todd Stevens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Stevens</w:t>
      </w:r>
    </w:p>
    <w:p>
      <w:pPr>
        <w:sectPr>
          <w:pgSz w:w="11900" w:h="16838" w:orient="portrait"/>
          <w:cols w:equalWidth="0" w:num="1">
            <w:col w:w="10139"/>
          </w:cols>
          <w:pgMar w:left="320" w:top="1440" w:right="1440"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Michael Tannenbaum, certify that:</w:t>
      </w:r>
    </w:p>
    <w:p>
      <w:pPr>
        <w:spacing w:after="0" w:line="171" w:lineRule="exact"/>
        <w:rPr>
          <w:sz w:val="20"/>
          <w:szCs w:val="20"/>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Figure Technology Solutions, Inc.;</w:t>
      </w:r>
    </w:p>
    <w:p>
      <w:pPr>
        <w:spacing w:after="0" w:line="171" w:lineRule="exact"/>
        <w:rPr>
          <w:rFonts w:ascii="Times New Roman" w:cs="Times New Roman" w:eastAsia="Times New Roman" w:hAnsi="Times New Roman"/>
          <w:sz w:val="18"/>
          <w:szCs w:val="18"/>
          <w:color w:val="auto"/>
        </w:rPr>
      </w:pPr>
    </w:p>
    <w:p>
      <w:pPr>
        <w:ind w:right="80" w:firstLine="656"/>
        <w:spacing w:after="0" w:line="266"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320" w:firstLine="656"/>
        <w:spacing w:after="0" w:line="282"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440" w:firstLine="656"/>
        <w:spacing w:after="0" w:line="282"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8" w:lineRule="exact"/>
        <w:rPr>
          <w:sz w:val="20"/>
          <w:szCs w:val="20"/>
          <w:color w:val="auto"/>
        </w:rPr>
      </w:pPr>
    </w:p>
    <w:p>
      <w:pPr>
        <w:ind w:firstLine="656"/>
        <w:spacing w:after="0" w:line="266" w:lineRule="auto"/>
        <w:tabs>
          <w:tab w:leader="none" w:pos="12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71" w:lineRule="exact"/>
        <w:rPr>
          <w:rFonts w:ascii="Times New Roman" w:cs="Times New Roman" w:eastAsia="Times New Roman" w:hAnsi="Times New Roman"/>
          <w:sz w:val="18"/>
          <w:szCs w:val="18"/>
          <w:color w:val="auto"/>
        </w:rPr>
      </w:pPr>
    </w:p>
    <w:p>
      <w:pPr>
        <w:ind w:right="240" w:firstLine="656"/>
        <w:spacing w:after="0" w:line="282" w:lineRule="auto"/>
        <w:tabs>
          <w:tab w:leader="none" w:pos="129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220" w:firstLine="656"/>
        <w:spacing w:after="0" w:line="266" w:lineRule="auto"/>
        <w:tabs>
          <w:tab w:leader="none" w:pos="129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right="560" w:firstLine="656"/>
        <w:spacing w:after="0" w:line="312" w:lineRule="auto"/>
        <w:tabs>
          <w:tab w:leader="none" w:pos="129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sz w:val="20"/>
          <w:szCs w:val="20"/>
          <w:color w:val="auto"/>
        </w:rPr>
      </w:pPr>
    </w:p>
    <w:p>
      <w:pPr>
        <w:ind w:right="460" w:firstLine="656"/>
        <w:spacing w:after="0" w:line="282" w:lineRule="auto"/>
        <w:tabs>
          <w:tab w:leader="none" w:pos="129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40" w:firstLine="656"/>
        <w:spacing w:after="0" w:line="282" w:lineRule="auto"/>
        <w:tabs>
          <w:tab w:leader="none" w:pos="1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630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Tannenbaum</w:t>
      </w:r>
    </w:p>
    <w:p>
      <w:pPr>
        <w:spacing w:after="0" w:line="279"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Michael Tannenbaum</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Macrina Kgil, certify that:</w:t>
      </w:r>
    </w:p>
    <w:p>
      <w:pPr>
        <w:spacing w:after="0" w:line="171"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Figure Technology Solutions, Inc.;</w:t>
      </w:r>
    </w:p>
    <w:p>
      <w:pPr>
        <w:spacing w:after="0" w:line="171" w:lineRule="exact"/>
        <w:rPr>
          <w:rFonts w:ascii="Times New Roman" w:cs="Times New Roman" w:eastAsia="Times New Roman" w:hAnsi="Times New Roman"/>
          <w:sz w:val="18"/>
          <w:szCs w:val="18"/>
          <w:color w:val="auto"/>
        </w:rPr>
      </w:pPr>
    </w:p>
    <w:p>
      <w:pPr>
        <w:ind w:right="80" w:firstLine="656"/>
        <w:spacing w:after="0" w:line="266" w:lineRule="auto"/>
        <w:tabs>
          <w:tab w:leader="none" w:pos="12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right="320" w:firstLine="656"/>
        <w:spacing w:after="0" w:line="282" w:lineRule="auto"/>
        <w:tabs>
          <w:tab w:leader="none" w:pos="12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440" w:firstLine="656"/>
        <w:spacing w:after="0" w:line="282" w:lineRule="auto"/>
        <w:tabs>
          <w:tab w:leader="none" w:pos="12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8" w:lineRule="exact"/>
        <w:rPr>
          <w:sz w:val="20"/>
          <w:szCs w:val="20"/>
          <w:color w:val="auto"/>
        </w:rPr>
      </w:pPr>
    </w:p>
    <w:p>
      <w:pPr>
        <w:ind w:firstLine="656"/>
        <w:spacing w:after="0" w:line="266" w:lineRule="auto"/>
        <w:tabs>
          <w:tab w:leader="none" w:pos="12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71" w:lineRule="exact"/>
        <w:rPr>
          <w:rFonts w:ascii="Times New Roman" w:cs="Times New Roman" w:eastAsia="Times New Roman" w:hAnsi="Times New Roman"/>
          <w:sz w:val="18"/>
          <w:szCs w:val="18"/>
          <w:color w:val="auto"/>
        </w:rPr>
      </w:pPr>
    </w:p>
    <w:p>
      <w:pPr>
        <w:ind w:right="240" w:firstLine="656"/>
        <w:spacing w:after="0" w:line="282" w:lineRule="auto"/>
        <w:tabs>
          <w:tab w:leader="none" w:pos="129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right="220" w:firstLine="656"/>
        <w:spacing w:after="0" w:line="266" w:lineRule="auto"/>
        <w:tabs>
          <w:tab w:leader="none" w:pos="129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sz w:val="20"/>
          <w:szCs w:val="20"/>
          <w:color w:val="auto"/>
        </w:rPr>
      </w:pPr>
    </w:p>
    <w:p>
      <w:pPr>
        <w:jc w:val="both"/>
        <w:ind w:right="560" w:firstLine="656"/>
        <w:spacing w:after="0" w:line="312" w:lineRule="auto"/>
        <w:tabs>
          <w:tab w:leader="none" w:pos="129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sz w:val="20"/>
          <w:szCs w:val="20"/>
          <w:color w:val="auto"/>
        </w:rPr>
      </w:pPr>
    </w:p>
    <w:p>
      <w:pPr>
        <w:ind w:right="460" w:firstLine="656"/>
        <w:spacing w:after="0" w:line="282" w:lineRule="auto"/>
        <w:tabs>
          <w:tab w:leader="none" w:pos="129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right="140" w:firstLine="656"/>
        <w:spacing w:after="0" w:line="282" w:lineRule="auto"/>
        <w:tabs>
          <w:tab w:leader="none" w:pos="129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20"/>
        <w:spacing w:after="0"/>
        <w:tabs>
          <w:tab w:leader="none" w:pos="630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s/ Macrina Kgil</w:t>
      </w:r>
    </w:p>
    <w:p>
      <w:pPr>
        <w:spacing w:after="0" w:line="33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Macrina Kgil</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Figure Technology Solutions, Inc. (the “Company”) for the period ended March 31, 2026 as filed with the Securities and Exchange Commission on the date hereof (the “Report”), I certify, pursuant to 18 U.S.C. § 1350, as adopted pursuant to § 906 of the Sarbanes-Oxley Act of 2002, that:</w:t>
      </w:r>
    </w:p>
    <w:p>
      <w:pPr>
        <w:spacing w:after="0" w:line="122"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p>
      <w:pPr>
        <w:ind w:left="20"/>
        <w:spacing w:after="0"/>
        <w:tabs>
          <w:tab w:leader="none" w:pos="630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s/ Michael Tannenbaum</w:t>
      </w:r>
    </w:p>
    <w:p>
      <w:pPr>
        <w:spacing w:after="0" w:line="33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Michael Tannenbaum</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Figure Technology Solutions, Inc. (the “Company”) for the period ended March 31, 2026 as filed with the Securities and Exchange Commission on the date hereof (the “Report”), I certify, pursuant to 18 U.S.C. § 1350, as adopted pursuant to § 906 of the Sarbanes-Oxley Act of 2002, that:</w:t>
      </w:r>
    </w:p>
    <w:p>
      <w:pPr>
        <w:spacing w:after="0" w:line="122"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p>
      <w:pPr>
        <w:ind w:left="20"/>
        <w:spacing w:after="0"/>
        <w:tabs>
          <w:tab w:leader="none" w:pos="630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Macrina Kgil</w:t>
      </w:r>
    </w:p>
    <w:p>
      <w:pPr>
        <w:spacing w:after="0" w:line="33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Macrina Kgil</w:t>
      </w:r>
    </w:p>
    <w:p>
      <w:pPr>
        <w:spacing w:after="0" w:line="2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upperLetter"/>
      <w:start w:val="1"/>
    </w:lvl>
  </w:abstractNum>
  <w:abstractNum w:abstractNumId="4">
    <w:nsid w:val="77465F01"/>
    <w:multiLevelType w:val="hybridMultilevel"/>
    <w:lvl w:ilvl="0">
      <w:lvlJc w:val="left"/>
      <w:lvlText w:val="(%1)"/>
      <w:numFmt w:val="upperLetter"/>
      <w:start w:val="1"/>
    </w:lvl>
  </w:abstractNum>
  <w:abstractNum w:abstractNumId="5">
    <w:nsid w:val="7724C67E"/>
    <w:multiLevelType w:val="hybridMultilevel"/>
    <w:lvl w:ilvl="0">
      <w:lvlJc w:val="left"/>
      <w:lvlText w:val="(%1)"/>
      <w:numFmt w:val="upperLetter"/>
      <w:start w:val="1"/>
    </w:lvl>
  </w:abstractNum>
  <w:abstractNum w:abstractNumId="6">
    <w:nsid w:val="5C482A97"/>
    <w:multiLevelType w:val="hybridMultilevel"/>
    <w:lvl w:ilvl="0">
      <w:lvlJc w:val="left"/>
      <w:lvlText w:val="(%1)"/>
      <w:numFmt w:val="upperLetter"/>
      <w:start w:val="1"/>
    </w:lvl>
  </w:abstractNum>
  <w:abstractNum w:abstractNumId="7">
    <w:nsid w:val="2463B9EA"/>
    <w:multiLevelType w:val="hybridMultilevel"/>
    <w:lvl w:ilvl="0">
      <w:lvlJc w:val="left"/>
      <w:lvlText w:val="(%1)"/>
      <w:numFmt w:val="upperLetter"/>
      <w:start w:val="1"/>
    </w:lvl>
  </w:abstractNum>
  <w:abstractNum w:abstractNumId="8">
    <w:nsid w:val="5E884ADC"/>
    <w:multiLevelType w:val="hybridMultilevel"/>
    <w:lvl w:ilvl="0">
      <w:lvlJc w:val="left"/>
      <w:lvlText w:val="(%1)"/>
      <w:numFmt w:val="upperLetter"/>
      <w:start w:val="3"/>
    </w:lvl>
  </w:abstractNum>
  <w:abstractNum w:abstractNumId="9">
    <w:nsid w:val="51EAD36B"/>
    <w:multiLevelType w:val="hybridMultilevel"/>
    <w:lvl w:ilvl="0">
      <w:lvlJc w:val="left"/>
      <w:lvlText w:val="(%1)"/>
      <w:numFmt w:val="upperLetter"/>
      <w:start w:val="1"/>
    </w:lvl>
  </w:abstractNum>
  <w:abstractNum w:abstractNumId="10">
    <w:nsid w:val="2D517796"/>
    <w:multiLevelType w:val="hybridMultilevel"/>
    <w:lvl w:ilvl="0">
      <w:lvlJc w:val="left"/>
      <w:lvlText w:val="(%1)"/>
      <w:numFmt w:val="upperLetter"/>
      <w:start w:val="1"/>
    </w:lvl>
  </w:abstractNum>
  <w:abstractNum w:abstractNumId="11">
    <w:nsid w:val="580BD78F"/>
    <w:multiLevelType w:val="hybridMultilevel"/>
    <w:lvl w:ilvl="0">
      <w:lvlJc w:val="left"/>
      <w:lvlText w:val="(%1)"/>
      <w:numFmt w:val="upperLetter"/>
      <w:start w:val="1"/>
    </w:lvl>
  </w:abstractNum>
  <w:abstractNum w:abstractNumId="12">
    <w:nsid w:val="153EA438"/>
    <w:multiLevelType w:val="hybridMultilevel"/>
    <w:lvl w:ilvl="0">
      <w:lvlJc w:val="left"/>
      <w:lvlText w:val="(%1)"/>
      <w:numFmt w:val="upperLetter"/>
      <w:start w:val="1"/>
    </w:lvl>
  </w:abstractNum>
  <w:abstractNum w:abstractNumId="13">
    <w:nsid w:val="3855585C"/>
    <w:multiLevelType w:val="hybridMultilevel"/>
    <w:lvl w:ilvl="0">
      <w:lvlJc w:val="left"/>
      <w:lvlText w:val="(%1)"/>
      <w:numFmt w:val="upperLetter"/>
      <w:start w:val="1"/>
    </w:lvl>
  </w:abstractNum>
  <w:abstractNum w:abstractNumId="14">
    <w:nsid w:val="70A64E2A"/>
    <w:multiLevelType w:val="hybridMultilevel"/>
    <w:lvl w:ilvl="0">
      <w:lvlJc w:val="left"/>
      <w:lvlText w:val="(%1)"/>
      <w:numFmt w:val="upperLetter"/>
      <w:start w:val="1"/>
    </w:lvl>
  </w:abstractNum>
  <w:abstractNum w:abstractNumId="15">
    <w:nsid w:val="6A2342EC"/>
    <w:multiLevelType w:val="hybridMultilevel"/>
    <w:lvl w:ilvl="0">
      <w:lvlJc w:val="left"/>
      <w:lvlText w:val="(%1)"/>
      <w:numFmt w:val="upperLetter"/>
      <w:start w:val="1"/>
    </w:lvl>
  </w:abstractNum>
  <w:abstractNum w:abstractNumId="16">
    <w:nsid w:val="2A487CB0"/>
    <w:multiLevelType w:val="hybridMultilevel"/>
    <w:lvl w:ilvl="0">
      <w:lvlJc w:val="left"/>
      <w:lvlText w:val="(%1)"/>
      <w:numFmt w:val="upperLetter"/>
      <w:start w:val="1"/>
    </w:lvl>
  </w:abstractNum>
  <w:abstractNum w:abstractNumId="17">
    <w:nsid w:val="1D4ED43B"/>
    <w:multiLevelType w:val="hybridMultilevel"/>
    <w:lvl w:ilvl="0">
      <w:lvlJc w:val="left"/>
      <w:lvlText w:val="(%1)"/>
      <w:numFmt w:val="upperLetter"/>
      <w:start w:val="1"/>
    </w:lvl>
  </w:abstractNum>
  <w:abstractNum w:abstractNumId="18">
    <w:nsid w:val="725A06FB"/>
    <w:multiLevelType w:val="hybridMultilevel"/>
    <w:lvl w:ilvl="0">
      <w:lvlJc w:val="left"/>
      <w:lvlText w:val="(%1)"/>
      <w:numFmt w:val="upperLetter"/>
      <w:start w:val="1"/>
    </w:lvl>
  </w:abstractNum>
  <w:abstractNum w:abstractNumId="19">
    <w:nsid w:val="2CD89A32"/>
    <w:multiLevelType w:val="hybridMultilevel"/>
    <w:lvl w:ilvl="0">
      <w:lvlJc w:val="left"/>
      <w:lvlText w:val="(%1)"/>
      <w:numFmt w:val="upperLetter"/>
      <w:start w:val="11"/>
    </w:lvl>
  </w:abstractNum>
  <w:abstractNum w:abstractNumId="20">
    <w:nsid w:val="57E4CCAF"/>
    <w:multiLevelType w:val="hybridMultilevel"/>
    <w:lvl w:ilvl="0">
      <w:lvlJc w:val="left"/>
      <w:lvlText w:val="(%1)"/>
      <w:numFmt w:val="upperLetter"/>
      <w:start w:val="1"/>
    </w:lvl>
  </w:abstractNum>
  <w:abstractNum w:abstractNumId="21">
    <w:nsid w:val="7A6D8D3C"/>
    <w:multiLevelType w:val="hybridMultilevel"/>
    <w:lvl w:ilvl="0">
      <w:lvlJc w:val="left"/>
      <w:lvlText w:val="(%1)"/>
      <w:numFmt w:val="upperLetter"/>
      <w:start w:val="1"/>
    </w:lvl>
  </w:abstractNum>
  <w:abstractNum w:abstractNumId="22">
    <w:nsid w:val="4B588F54"/>
    <w:multiLevelType w:val="hybridMultilevel"/>
    <w:lvl w:ilvl="0">
      <w:lvlJc w:val="left"/>
      <w:lvlText w:val="(%1)"/>
      <w:numFmt w:val="upperLetter"/>
      <w:start w:val="1"/>
    </w:lvl>
  </w:abstractNum>
  <w:abstractNum w:abstractNumId="23">
    <w:nsid w:val="542289EC"/>
    <w:multiLevelType w:val="hybridMultilevel"/>
    <w:lvl w:ilvl="0">
      <w:lvlJc w:val="left"/>
      <w:lvlText w:val="(%1)"/>
      <w:numFmt w:val="upperLetter"/>
      <w:start w:val="1"/>
    </w:lvl>
  </w:abstractNum>
  <w:abstractNum w:abstractNumId="24">
    <w:nsid w:val="6DE91B18"/>
    <w:multiLevelType w:val="hybridMultilevel"/>
    <w:lvl w:ilvl="0">
      <w:lvlJc w:val="left"/>
      <w:lvlText w:val="(%1)"/>
      <w:numFmt w:val="upperLetter"/>
      <w:start w:val="1"/>
    </w:lvl>
  </w:abstractNum>
  <w:abstractNum w:abstractNumId="25">
    <w:nsid w:val="38437FDB"/>
    <w:multiLevelType w:val="hybridMultilevel"/>
    <w:lvl w:ilvl="0">
      <w:lvlJc w:val="left"/>
      <w:lvlText w:val="(%1)"/>
      <w:numFmt w:val="upperLetter"/>
      <w:start w:val="1"/>
    </w:lvl>
  </w:abstractNum>
  <w:abstractNum w:abstractNumId="26">
    <w:nsid w:val="7644A45C"/>
    <w:multiLevelType w:val="hybridMultilevel"/>
    <w:lvl w:ilvl="0">
      <w:lvlJc w:val="left"/>
      <w:lvlText w:val="(%1)"/>
      <w:numFmt w:val="upperLetter"/>
      <w:start w:val="1"/>
    </w:lvl>
  </w:abstractNum>
  <w:abstractNum w:abstractNumId="27">
    <w:nsid w:val="32FFF902"/>
    <w:multiLevelType w:val="hybridMultilevel"/>
    <w:lvl w:ilvl="0">
      <w:lvlJc w:val="left"/>
      <w:lvlText w:val="(%1)"/>
      <w:numFmt w:val="upperLetter"/>
      <w:start w:val="1"/>
    </w:lvl>
  </w:abstractNum>
  <w:abstractNum w:abstractNumId="28">
    <w:nsid w:val="684A481A"/>
    <w:multiLevelType w:val="hybridMultilevel"/>
    <w:lvl w:ilvl="0">
      <w:lvlJc w:val="left"/>
      <w:lvlText w:val="(%1)"/>
      <w:numFmt w:val="upperLetter"/>
      <w:start w:val="4"/>
    </w:lvl>
  </w:abstractNum>
  <w:abstractNum w:abstractNumId="29">
    <w:nsid w:val="579478FE"/>
    <w:multiLevelType w:val="hybridMultilevel"/>
    <w:lvl w:ilvl="0">
      <w:lvlJc w:val="left"/>
      <w:lvlText w:val="(%1)"/>
      <w:numFmt w:val="upperLetter"/>
      <w:start w:val="1"/>
    </w:lvl>
  </w:abstractNum>
  <w:abstractNum w:abstractNumId="30">
    <w:nsid w:val="749ABB43"/>
    <w:multiLevelType w:val="hybridMultilevel"/>
    <w:lvl w:ilvl="0">
      <w:lvlJc w:val="left"/>
      <w:lvlText w:val="(%1)"/>
      <w:numFmt w:val="upperLetter"/>
      <w:start w:val="6"/>
    </w:lvl>
  </w:abstractNum>
  <w:abstractNum w:abstractNumId="31">
    <w:nsid w:val="3DC240FB"/>
    <w:multiLevelType w:val="hybridMultilevel"/>
    <w:lvl w:ilvl="0">
      <w:lvlJc w:val="left"/>
      <w:lvlText w:val="(%1)"/>
      <w:numFmt w:val="upperLetter"/>
      <w:start w:val="10"/>
    </w:lvl>
  </w:abstractNum>
  <w:abstractNum w:abstractNumId="32">
    <w:nsid w:val="1BA026FA"/>
    <w:multiLevelType w:val="hybridMultilevel"/>
    <w:lvl w:ilvl="0">
      <w:lvlJc w:val="left"/>
      <w:lvlText w:val="(%1)"/>
      <w:numFmt w:val="upperLetter"/>
      <w:start w:val="1"/>
    </w:lvl>
  </w:abstractNum>
  <w:abstractNum w:abstractNumId="33">
    <w:nsid w:val="79A1DEAA"/>
    <w:multiLevelType w:val="hybridMultilevel"/>
    <w:lvl w:ilvl="0">
      <w:lvlJc w:val="left"/>
      <w:lvlText w:val="(%1)"/>
      <w:numFmt w:val="upperLetter"/>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8"/>
    </w:lvl>
  </w:abstractNum>
  <w:abstractNum w:abstractNumId="36">
    <w:nsid w:val="70C6A529"/>
    <w:multiLevelType w:val="hybridMultilevel"/>
    <w:lvl w:ilvl="0">
      <w:lvlJc w:val="left"/>
      <w:lvlText w:val="(%1)"/>
      <w:numFmt w:val="decimal"/>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1)"/>
      <w:numFmt w:val="upperLetter"/>
      <w:start w:val="1"/>
    </w:lvl>
  </w:abstractNum>
  <w:abstractNum w:abstractNumId="41">
    <w:nsid w:val="649BB77C"/>
    <w:multiLevelType w:val="hybridMultilevel"/>
    <w:lvl w:ilvl="0">
      <w:lvlJc w:val="left"/>
      <w:lvlText w:val="(%1)"/>
      <w:numFmt w:val="upperLetter"/>
      <w:start w:val="1"/>
    </w:lvl>
  </w:abstractNum>
  <w:abstractNum w:abstractNumId="42">
    <w:nsid w:val="275AC794"/>
    <w:multiLevelType w:val="hybridMultilevel"/>
    <w:lvl w:ilvl="0">
      <w:lvlJc w:val="left"/>
      <w:lvlText w:val="(%1)"/>
      <w:numFmt w:val="upperLetter"/>
      <w:start w:val="1"/>
    </w:lvl>
  </w:abstractNum>
  <w:abstractNum w:abstractNumId="43">
    <w:nsid w:val="39386575"/>
    <w:multiLevelType w:val="hybridMultilevel"/>
    <w:lvl w:ilvl="0">
      <w:lvlJc w:val="left"/>
      <w:lvlText w:val="(%1)"/>
      <w:numFmt w:val="upperLetter"/>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
      <w:numFmt w:val="bullet"/>
      <w:start w:val="1"/>
    </w:lvl>
    <w:lvl w:ilvl="1">
      <w:lvlJc w:val="left"/>
      <w:lvlText w:val="%2"/>
      <w:numFmt w:val="decimal"/>
      <w:start w:val="104"/>
    </w:lvl>
  </w:abstractNum>
  <w:abstractNum w:abstractNumId="46">
    <w:nsid w:val="235BA861"/>
    <w:multiLevelType w:val="hybridMultilevel"/>
    <w:lvl w:ilvl="0">
      <w:lvlJc w:val="left"/>
      <w:lvlText w:val="**"/>
      <w:numFmt w:val="bullet"/>
      <w:start w:val="1"/>
    </w:lvl>
    <w:lvl w:ilvl="1">
      <w:lvlJc w:val="left"/>
      <w:lvlText w:val="%2"/>
      <w:numFmt w:val="decimal"/>
      <w:start w:val="1"/>
    </w:lvl>
  </w:abstractNum>
  <w:abstractNum w:abstractNumId="47">
    <w:nsid w:val="47398C89"/>
    <w:multiLevelType w:val="hybridMultilevel"/>
    <w:lvl w:ilvl="0">
      <w:lvlJc w:val="left"/>
      <w:lvlText w:val="(%1)"/>
      <w:numFmt w:val="lowerRoman"/>
      <w:start w:val="1"/>
    </w:lvl>
  </w:abstractNum>
  <w:abstractNum w:abstractNumId="48">
    <w:nsid w:val="354FE9F9"/>
    <w:multiLevelType w:val="hybridMultilevel"/>
    <w:lvl w:ilvl="0">
      <w:lvlJc w:val="left"/>
      <w:lvlText w:val="%1"/>
      <w:numFmt w:val="upperLetter"/>
      <w:start w:val="1"/>
    </w:lvl>
    <w:lvl w:ilvl="1">
      <w:lvlJc w:val="left"/>
      <w:lvlText w:val="(%2)"/>
      <w:numFmt w:val="lowerLetter"/>
      <w:start w:val="1"/>
    </w:lvl>
  </w:abstractNum>
  <w:abstractNum w:abstractNumId="49">
    <w:nsid w:val="15B5AF5C"/>
    <w:multiLevelType w:val="hybridMultilevel"/>
    <w:lvl w:ilvl="0">
      <w:lvlJc w:val="left"/>
      <w:lvlText w:val="(%1)"/>
      <w:numFmt w:val="upperLetter"/>
      <w:start w:val="2"/>
    </w:lvl>
    <w:lvl w:ilvl="1">
      <w:lvlJc w:val="left"/>
      <w:lvlText w:val="(%2)"/>
      <w:numFmt w:val="lowerLetter"/>
      <w:start w:val="3"/>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4"/>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Roman"/>
      <w:start w:val="1"/>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1)"/>
      <w:numFmt w:val="lowerLetter"/>
      <w:start w:val="1"/>
    </w:lvl>
  </w:abstractNum>
  <w:abstractNum w:abstractNumId="56">
    <w:nsid w:val="77AE35EB"/>
    <w:multiLevelType w:val="hybridMultilevel"/>
    <w:lvl w:ilvl="0">
      <w:lvlJc w:val="left"/>
      <w:lvlText w:val="(%1)"/>
      <w:numFmt w:val="lowerLetter"/>
      <w:start w:val="1"/>
    </w:lvl>
  </w:abstractNum>
  <w:abstractNum w:abstractNumId="57">
    <w:nsid w:val="579BE4F1"/>
    <w:multiLevelType w:val="hybridMultilevel"/>
    <w:lvl w:ilvl="0">
      <w:lvlJc w:val="left"/>
      <w:lvlText w:val="(%1)"/>
      <w:numFmt w:val="lowerLetter"/>
      <w:start w:val="2"/>
    </w:lvl>
    <w:lvl w:ilvl="1">
      <w:lvlJc w:val="left"/>
      <w:lvlText w:val="(%2)"/>
      <w:numFmt w:val="lowerRoman"/>
      <w:start w:val="1"/>
    </w:lvl>
  </w:abstractNum>
  <w:abstractNum w:abstractNumId="58">
    <w:nsid w:val="310C50B3"/>
    <w:multiLevelType w:val="hybridMultilevel"/>
    <w:lvl w:ilvl="0">
      <w:lvlJc w:val="left"/>
      <w:lvlText w:val="(%1)"/>
      <w:numFmt w:val="lowerRoman"/>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lowerLetter"/>
      <w:start w:val="1"/>
    </w:lvl>
  </w:abstractNum>
  <w:abstractNum w:abstractNumId="61">
    <w:nsid w:val="25A70BF7"/>
    <w:multiLevelType w:val="hybridMultilevel"/>
    <w:lvl w:ilvl="0">
      <w:lvlJc w:val="left"/>
      <w:lvlText w:val="%1."/>
      <w:numFmt w:val="decimal"/>
      <w:start w:val="5"/>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lowerLetter"/>
      <w:start w:val="1"/>
    </w:lvl>
  </w:abstractNum>
  <w:abstractNum w:abstractNumId="65">
    <w:nsid w:val="1381823A"/>
    <w:multiLevelType w:val="hybridMultilevel"/>
    <w:lvl w:ilvl="0">
      <w:lvlJc w:val="left"/>
      <w:lvlText w:val="%1."/>
      <w:numFmt w:val="decimal"/>
      <w:start w:val="5"/>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84" Type="http://schemas.openxmlformats.org/officeDocument/2006/relationships/hyperlink" Target="https://www.sec.gov/Archives/edgar/data/2064124/000206412425000018/exhibit31-closing8xk.htm" TargetMode="External"/><Relationship Id="rId86" Type="http://schemas.openxmlformats.org/officeDocument/2006/relationships/hyperlink" Target="https://www.sec.gov/Archives/edgar/data/2064124/000206412425000018/exhibit32-closing8xk.htm" TargetMode="External"/><Relationship Id="rId87" Type="http://schemas.openxmlformats.org/officeDocument/2006/relationships/hyperlink" Target="https://www.sec.gov/Archives/edgar/data/2064124/000162828025041443/exhibit41-sx1a2.htm" TargetMode="External"/><Relationship Id="rId88" Type="http://schemas.openxmlformats.org/officeDocument/2006/relationships/hyperlink" Target="https://www.sec.gov/Archives/edgar/data/2064124/000162828025041443/exhibit42-sx1a2.htm" TargetMode="External"/><Relationship Id="rId89" Type="http://schemas.openxmlformats.org/officeDocument/2006/relationships/hyperlink" Target="https://www.sec.gov/Archives/edgar/data/2064124/000162828025041731/exhibit43-sx1a3.htm" TargetMode="External"/><Relationship Id="rId90" Type="http://schemas.openxmlformats.org/officeDocument/2006/relationships/hyperlink" Target="https://www.sec.gov/Archives/edgar/data/0002064124/000162828026007370/exhibit42-blockchainsx1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2026-05-15T05:35:15Z</dcterms:created>
  <dcterms:modified xsi:type="dcterms:W3CDTF">2026-05-15T05:35:15Z</dcterms:modified>
</cp:coreProperties>
</file>