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0001623781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283"/>
              <w:jc w:val="left"/>
              <w:rPr/>
            </w:pPr>
            <w:r>
              <w:rPr/>
              <w:t>Name of Issuer</w:t>
            </w:r>
          </w:p>
        </w:tc>
        <w:tc>
          <w:tcPr>
            <w:tcW w:w="4299" w:type="dxa"/>
            <w:tcBorders/>
            <w:vAlign w:val="center"/>
          </w:tcPr>
          <w:p>
            <w:pPr>
              <w:pStyle w:val="TableContents"/>
              <w:bidi w:val="0"/>
              <w:spacing w:before="0" w:after="0"/>
              <w:jc w:val="left"/>
              <w:rPr/>
            </w:pPr>
            <w:r>
              <w:rPr/>
              <w:t>Figure Technology Solutions, Inc.</w:t>
            </w:r>
          </w:p>
        </w:tc>
      </w:tr>
      <w:tr>
        <w:trPr/>
        <w:tc>
          <w:tcPr>
            <w:tcW w:w="5906" w:type="dxa"/>
            <w:tcBorders/>
            <w:vAlign w:val="center"/>
          </w:tcPr>
          <w:p>
            <w:pPr>
              <w:pStyle w:val="TableContents"/>
              <w:bidi w:val="0"/>
              <w:spacing w:before="0" w:after="283"/>
              <w:jc w:val="left"/>
              <w:rPr/>
            </w:pPr>
            <w:r>
              <w:rPr/>
              <w:t>SEC File Number</w:t>
            </w:r>
          </w:p>
        </w:tc>
        <w:tc>
          <w:tcPr>
            <w:tcW w:w="4299" w:type="dxa"/>
            <w:tcBorders/>
            <w:vAlign w:val="center"/>
          </w:tcPr>
          <w:p>
            <w:pPr>
              <w:pStyle w:val="TableContents"/>
              <w:bidi w:val="0"/>
              <w:spacing w:before="0" w:after="0"/>
              <w:jc w:val="left"/>
              <w:rPr/>
            </w:pPr>
            <w:r>
              <w:rPr/>
              <w:t>001-42829</w:t>
            </w:r>
          </w:p>
        </w:tc>
      </w:tr>
      <w:tr>
        <w:trPr/>
        <w:tc>
          <w:tcPr>
            <w:tcW w:w="5906" w:type="dxa"/>
            <w:tcBorders/>
            <w:vAlign w:val="center"/>
          </w:tcPr>
          <w:p>
            <w:pPr>
              <w:pStyle w:val="TableContents"/>
              <w:bidi w:val="0"/>
              <w:spacing w:before="0" w:after="283"/>
              <w:jc w:val="left"/>
              <w:rPr/>
            </w:pPr>
            <w:r>
              <w:rPr/>
              <w:t>Address of Issuer</w:t>
            </w:r>
          </w:p>
        </w:tc>
        <w:tc>
          <w:tcPr>
            <w:tcW w:w="4299" w:type="dxa"/>
            <w:tcBorders/>
            <w:vAlign w:val="center"/>
          </w:tcPr>
          <w:p>
            <w:pPr>
              <w:pStyle w:val="TableContents"/>
              <w:bidi w:val="0"/>
              <w:spacing w:before="0" w:after="0"/>
              <w:jc w:val="left"/>
              <w:rPr/>
            </w:pPr>
            <w:r>
              <w:rPr/>
              <w:t>100 West Liberty Street</w:t>
              <w:br/>
              <w:t>Suite 600</w:t>
              <w:br/>
              <w:t>Reno</w:t>
              <w:br/>
              <w:t xml:space="preserve">NEVADA </w:t>
              <w:br/>
              <w:t>89501</w:t>
            </w:r>
          </w:p>
        </w:tc>
      </w:tr>
      <w:tr>
        <w:trPr/>
        <w:tc>
          <w:tcPr>
            <w:tcW w:w="5906" w:type="dxa"/>
            <w:tcBorders/>
            <w:vAlign w:val="center"/>
          </w:tcPr>
          <w:p>
            <w:pPr>
              <w:pStyle w:val="TableContents"/>
              <w:bidi w:val="0"/>
              <w:spacing w:before="0" w:after="283"/>
              <w:jc w:val="left"/>
              <w:rPr/>
            </w:pPr>
            <w:r>
              <w:rPr/>
              <w:t>Phone</w:t>
            </w:r>
          </w:p>
        </w:tc>
        <w:tc>
          <w:tcPr>
            <w:tcW w:w="4299" w:type="dxa"/>
            <w:tcBorders/>
            <w:vAlign w:val="center"/>
          </w:tcPr>
          <w:p>
            <w:pPr>
              <w:pStyle w:val="TableContents"/>
              <w:bidi w:val="0"/>
              <w:spacing w:before="0" w:after="0"/>
              <w:jc w:val="left"/>
              <w:rPr/>
            </w:pPr>
            <w:r>
              <w:rPr/>
              <w:t>9177898049</w:t>
            </w:r>
          </w:p>
        </w:tc>
      </w:tr>
      <w:tr>
        <w:trPr/>
        <w:tc>
          <w:tcPr>
            <w:tcW w:w="5906" w:type="dxa"/>
            <w:tcBorders/>
            <w:vAlign w:val="center"/>
          </w:tcPr>
          <w:p>
            <w:pPr>
              <w:pStyle w:val="TableContents"/>
              <w:bidi w:val="0"/>
              <w:spacing w:before="0" w:after="283"/>
              <w:jc w:val="left"/>
              <w:rPr/>
            </w:pPr>
            <w:r>
              <w:rPr/>
              <w:t>Name of Person for Whose Account the Securities are To Be Sold</w:t>
            </w:r>
          </w:p>
        </w:tc>
        <w:tc>
          <w:tcPr>
            <w:tcW w:w="4299" w:type="dxa"/>
            <w:tcBorders/>
            <w:vAlign w:val="center"/>
          </w:tcPr>
          <w:p>
            <w:pPr>
              <w:pStyle w:val="TableContents"/>
              <w:bidi w:val="0"/>
              <w:spacing w:before="0" w:after="0"/>
              <w:jc w:val="left"/>
              <w:rPr/>
            </w:pPr>
            <w:r>
              <w:rPr/>
              <w:t>Morgan Creek Capital Management,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6" w:type="dxa"/>
            <w:tcBorders/>
            <w:vAlign w:val="center"/>
          </w:tcPr>
          <w:p>
            <w:pPr>
              <w:pStyle w:val="TableContents"/>
              <w:bidi w:val="0"/>
              <w:spacing w:before="0" w:after="283"/>
              <w:jc w:val="left"/>
              <w:rPr/>
            </w:pPr>
            <w:r>
              <w:rPr/>
              <w:t>Relationship to Issuer</w:t>
            </w:r>
          </w:p>
        </w:tc>
        <w:tc>
          <w:tcPr>
            <w:tcW w:w="4299" w:type="dxa"/>
            <w:tcBorders/>
            <w:vAlign w:val="center"/>
          </w:tcPr>
          <w:p>
            <w:pPr>
              <w:pStyle w:val="TableContents"/>
              <w:bidi w:val="0"/>
              <w:spacing w:before="0" w:after="0"/>
              <w:jc w:val="left"/>
              <w:rPr/>
            </w:pPr>
            <w:r>
              <w:rPr/>
              <w:t>Investment Manager to Shareholders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509"/>
        <w:gridCol w:w="1167"/>
        <w:gridCol w:w="1460"/>
        <w:gridCol w:w="1551"/>
        <w:gridCol w:w="1566"/>
        <w:gridCol w:w="1378"/>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Merrill Lynch</w:t>
              <w:br/>
              <w:t>555 California Street</w:t>
              <w:br/>
              <w:t>18th Floor</w:t>
              <w:br/>
              <w:t>San Francisco   CA   94104</w:t>
            </w:r>
          </w:p>
        </w:tc>
        <w:tc>
          <w:tcPr>
            <w:tcW w:w="1167" w:type="dxa"/>
            <w:tcBorders/>
            <w:vAlign w:val="center"/>
          </w:tcPr>
          <w:p>
            <w:pPr>
              <w:pStyle w:val="TableContents"/>
              <w:bidi w:val="0"/>
              <w:spacing w:before="0" w:after="283"/>
              <w:jc w:val="left"/>
              <w:rPr/>
            </w:pPr>
            <w:r>
              <w:rPr/>
              <w:t>141728</w:t>
            </w:r>
          </w:p>
        </w:tc>
        <w:tc>
          <w:tcPr>
            <w:tcW w:w="1460" w:type="dxa"/>
            <w:tcBorders/>
            <w:vAlign w:val="center"/>
          </w:tcPr>
          <w:p>
            <w:pPr>
              <w:pStyle w:val="TableContents"/>
              <w:bidi w:val="0"/>
              <w:spacing w:before="0" w:after="283"/>
              <w:jc w:val="left"/>
              <w:rPr/>
            </w:pPr>
            <w:r>
              <w:rPr/>
              <w:t>5423930.56</w:t>
            </w:r>
          </w:p>
        </w:tc>
        <w:tc>
          <w:tcPr>
            <w:tcW w:w="1551" w:type="dxa"/>
            <w:tcBorders/>
            <w:vAlign w:val="center"/>
          </w:tcPr>
          <w:p>
            <w:pPr>
              <w:pStyle w:val="TableContents"/>
              <w:bidi w:val="0"/>
              <w:spacing w:before="0" w:after="283"/>
              <w:jc w:val="left"/>
              <w:rPr/>
            </w:pPr>
            <w:r>
              <w:rPr/>
              <w:t>185672153</w:t>
            </w:r>
          </w:p>
        </w:tc>
        <w:tc>
          <w:tcPr>
            <w:tcW w:w="1566" w:type="dxa"/>
            <w:tcBorders/>
            <w:vAlign w:val="center"/>
          </w:tcPr>
          <w:p>
            <w:pPr>
              <w:pStyle w:val="TableContents"/>
              <w:bidi w:val="0"/>
              <w:spacing w:before="0" w:after="283"/>
              <w:jc w:val="left"/>
              <w:rPr/>
            </w:pPr>
            <w:r>
              <w:rPr/>
              <w:t>09/09/2026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02/27/2019</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141728</w:t>
            </w:r>
          </w:p>
        </w:tc>
        <w:tc>
          <w:tcPr>
            <w:tcW w:w="1078" w:type="dxa"/>
            <w:tcBorders/>
            <w:vAlign w:val="center"/>
          </w:tcPr>
          <w:p>
            <w:pPr>
              <w:pStyle w:val="TableContents"/>
              <w:bidi w:val="0"/>
              <w:spacing w:before="0" w:after="283"/>
              <w:jc w:val="left"/>
              <w:rPr/>
            </w:pPr>
            <w:r>
              <w:rPr/>
              <w:t>02/27/2019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5"/>
        <w:gridCol w:w="2876"/>
        <w:gridCol w:w="931"/>
        <w:gridCol w:w="1544"/>
        <w:gridCol w:w="1739"/>
      </w:tblGrid>
      <w:tr>
        <w:trPr/>
        <w:tc>
          <w:tcPr>
            <w:tcW w:w="3115" w:type="dxa"/>
            <w:tcBorders/>
            <w:vAlign w:val="center"/>
          </w:tcPr>
          <w:p>
            <w:pPr>
              <w:pStyle w:val="TableHeading"/>
              <w:suppressLineNumbers/>
              <w:bidi w:val="0"/>
              <w:spacing w:before="0" w:after="283"/>
              <w:jc w:val="center"/>
              <w:rPr/>
            </w:pPr>
            <w:r>
              <w:rPr/>
              <w:t>Name and Address of Seller</w:t>
            </w:r>
          </w:p>
        </w:tc>
        <w:tc>
          <w:tcPr>
            <w:tcW w:w="2876"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39" w:type="dxa"/>
            <w:tcBorders/>
            <w:vAlign w:val="center"/>
          </w:tcPr>
          <w:p>
            <w:pPr>
              <w:pStyle w:val="TableHeading"/>
              <w:suppressLineNumbers/>
              <w:bidi w:val="0"/>
              <w:spacing w:before="0" w:after="283"/>
              <w:jc w:val="center"/>
              <w:rPr/>
            </w:pPr>
            <w:r>
              <w:rPr/>
              <w:t>Gross Proceeds</w:t>
            </w:r>
          </w:p>
        </w:tc>
      </w:tr>
      <w:tr>
        <w:trPr/>
        <w:tc>
          <w:tcPr>
            <w:tcW w:w="3115" w:type="dxa"/>
            <w:tcBorders/>
            <w:vAlign w:val="center"/>
          </w:tcPr>
          <w:p>
            <w:pPr>
              <w:pStyle w:val="TableContents"/>
              <w:bidi w:val="0"/>
              <w:spacing w:before="0" w:after="283"/>
              <w:jc w:val="left"/>
              <w:rPr/>
            </w:pPr>
            <w:r>
              <w:rPr/>
              <w:t>Morgan Creek Blockchain Opportunities Fund LP</w:t>
              <w:br/>
              <w:t>301 West Barbee Chapel Road</w:t>
              <w:br/>
              <w:t>Suite 200</w:t>
              <w:br/>
              <w:t>Chapel Hill   NC   27517</w:t>
            </w:r>
          </w:p>
        </w:tc>
        <w:tc>
          <w:tcPr>
            <w:tcW w:w="2876"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08/18/2026</w:t>
            </w:r>
          </w:p>
        </w:tc>
        <w:tc>
          <w:tcPr>
            <w:tcW w:w="1544" w:type="dxa"/>
            <w:tcBorders/>
            <w:vAlign w:val="center"/>
          </w:tcPr>
          <w:p>
            <w:pPr>
              <w:pStyle w:val="TableContents"/>
              <w:bidi w:val="0"/>
              <w:spacing w:before="0" w:after="283"/>
              <w:jc w:val="left"/>
              <w:rPr/>
            </w:pPr>
            <w:r>
              <w:rPr/>
              <w:t>50000</w:t>
            </w:r>
          </w:p>
        </w:tc>
        <w:tc>
          <w:tcPr>
            <w:tcW w:w="1739" w:type="dxa"/>
            <w:tcBorders/>
            <w:vAlign w:val="center"/>
          </w:tcPr>
          <w:p>
            <w:pPr>
              <w:pStyle w:val="TableContents"/>
              <w:bidi w:val="0"/>
              <w:spacing w:before="0" w:after="283"/>
              <w:jc w:val="left"/>
              <w:rPr/>
            </w:pPr>
            <w:r>
              <w:rPr/>
              <w:t>1764791.7</w:t>
            </w:r>
          </w:p>
        </w:tc>
      </w:tr>
      <w:tr>
        <w:trPr/>
        <w:tc>
          <w:tcPr>
            <w:tcW w:w="3115" w:type="dxa"/>
            <w:tcBorders/>
            <w:vAlign w:val="center"/>
          </w:tcPr>
          <w:p>
            <w:pPr>
              <w:pStyle w:val="TableContents"/>
              <w:bidi w:val="0"/>
              <w:spacing w:before="0" w:after="283"/>
              <w:jc w:val="left"/>
              <w:rPr/>
            </w:pPr>
            <w:r>
              <w:rPr/>
              <w:t>Morgan Creek Private Opportunities LLC Series J - Figure</w:t>
              <w:br/>
              <w:t>301 West Barbee Chapel Road</w:t>
              <w:br/>
              <w:t>Suite 200</w:t>
              <w:br/>
              <w:t>Chapel Hill   NC   27517</w:t>
            </w:r>
          </w:p>
        </w:tc>
        <w:tc>
          <w:tcPr>
            <w:tcW w:w="2876"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08/18/2026</w:t>
            </w:r>
          </w:p>
        </w:tc>
        <w:tc>
          <w:tcPr>
            <w:tcW w:w="1544" w:type="dxa"/>
            <w:tcBorders/>
            <w:vAlign w:val="center"/>
          </w:tcPr>
          <w:p>
            <w:pPr>
              <w:pStyle w:val="TableContents"/>
              <w:bidi w:val="0"/>
              <w:spacing w:before="0" w:after="283"/>
              <w:jc w:val="left"/>
              <w:rPr/>
            </w:pPr>
            <w:r>
              <w:rPr/>
              <w:t>190</w:t>
            </w:r>
          </w:p>
        </w:tc>
        <w:tc>
          <w:tcPr>
            <w:tcW w:w="1739" w:type="dxa"/>
            <w:tcBorders/>
            <w:vAlign w:val="center"/>
          </w:tcPr>
          <w:p>
            <w:pPr>
              <w:pStyle w:val="TableContents"/>
              <w:bidi w:val="0"/>
              <w:spacing w:before="0" w:after="283"/>
              <w:jc w:val="left"/>
              <w:rPr/>
            </w:pPr>
            <w:r>
              <w:rPr/>
              <w:t>6706.21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40"/>
        <w:gridCol w:w="8965"/>
      </w:tblGrid>
      <w:tr>
        <w:trPr/>
        <w:tc>
          <w:tcPr>
            <w:tcW w:w="1240" w:type="dxa"/>
            <w:tcBorders/>
            <w:vAlign w:val="center"/>
          </w:tcPr>
          <w:p>
            <w:pPr>
              <w:pStyle w:val="TableContents"/>
              <w:bidi w:val="0"/>
              <w:spacing w:before="0" w:after="283"/>
              <w:jc w:val="left"/>
              <w:rPr/>
            </w:pPr>
            <w:r>
              <w:rPr/>
              <w:t>Remarks</w:t>
            </w:r>
          </w:p>
        </w:tc>
        <w:tc>
          <w:tcPr>
            <w:tcW w:w="8965" w:type="dxa"/>
            <w:tcBorders/>
            <w:vAlign w:val="center"/>
          </w:tcPr>
          <w:p>
            <w:pPr>
              <w:pStyle w:val="TableContents"/>
              <w:bidi w:val="0"/>
              <w:spacing w:before="0" w:after="0"/>
              <w:jc w:val="left"/>
              <w:rPr/>
            </w:pPr>
            <w:r>
              <w:rPr/>
              <w:t>The proposed sale consists of 141,728 shares held by Morgan Creek Blockchain Opportunities Fund LP. The securities to be sold were acquired on 02/27/2019. Each of Morgan Creek Capital Management, LLC and the above-referenced entities expressly disclaim status as an "affiliate" of the Issuer within the meaning of Rule 144.</w:t>
            </w:r>
          </w:p>
        </w:tc>
      </w:tr>
      <w:tr>
        <w:trPr/>
        <w:tc>
          <w:tcPr>
            <w:tcW w:w="1240" w:type="dxa"/>
            <w:tcBorders/>
            <w:vAlign w:val="center"/>
          </w:tcPr>
          <w:p>
            <w:pPr>
              <w:pStyle w:val="TableContents"/>
              <w:bidi w:val="0"/>
              <w:spacing w:before="0" w:after="283"/>
              <w:jc w:val="left"/>
              <w:rPr/>
            </w:pPr>
            <w:r>
              <w:rPr/>
              <w:t>Date of Notice</w:t>
            </w:r>
          </w:p>
        </w:tc>
        <w:tc>
          <w:tcPr>
            <w:tcW w:w="8965"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40" w:type="dxa"/>
            <w:tcBorders/>
            <w:vAlign w:val="center"/>
          </w:tcPr>
          <w:p>
            <w:pPr>
              <w:pStyle w:val="TableContents"/>
              <w:bidi w:val="0"/>
              <w:spacing w:before="0" w:after="283"/>
              <w:jc w:val="left"/>
              <w:rPr/>
            </w:pPr>
            <w:r>
              <w:rPr/>
              <w:t>Signature</w:t>
            </w:r>
          </w:p>
        </w:tc>
        <w:tc>
          <w:tcPr>
            <w:tcW w:w="8965" w:type="dxa"/>
            <w:tcBorders/>
            <w:vAlign w:val="center"/>
          </w:tcPr>
          <w:p>
            <w:pPr>
              <w:pStyle w:val="TableContents"/>
              <w:bidi w:val="0"/>
              <w:spacing w:before="0" w:after="0"/>
              <w:jc w:val="left"/>
              <w:rPr/>
            </w:pPr>
            <w:r>
              <w:rPr/>
              <w:t>Mark Yusko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3512</Characters>
  <CharactersWithSpaces>4138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