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Ou June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221"/>
        <w:gridCol w:w="801"/>
        <w:gridCol w:w="1131"/>
        <w:gridCol w:w="831"/>
        <w:gridCol w:w="981"/>
      </w:tblGrid>
      <w:tr>
        <w:trPr>
          <w:tblHeader w:val="true"/>
        </w:trPr>
        <w:tc>
          <w:tcPr>
            <w:tcW w:w="128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29,958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31.8</w:t>
            </w:r>
            <w:r>
              <w:rPr/>
              <w:t xml:space="preserve"> 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4,806,399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31,521,107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31,521,107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3,185,970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3,185,970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Children's Trust 1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3,185,970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3,185,970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Children's Trust 2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outstanding share of Class B Common Stock will be convertible at any time at the option of the holder into one share of Class A Common Stock. In addition, each share of Class B Common Stock will convert automatically into one share of Class A Common Stock upon any transfer, whether or not for value, except for certain permitted transfers.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liability on vesting of restricted stock units. Not a market sale.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a gift transfer exempt from reporting pursuant to Rule 16a-13.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71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723</Words>
  <Characters>3821</Characters>
  <CharactersWithSpaces>4461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