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Kgil Minchung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20,746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481,067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4.82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20,746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654,254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with respect to one quarter of the underlying shares on December 2, 2025, and with respect to the remaining shares in 36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54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3333</Characters>
  <CharactersWithSpaces>3869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