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Cagney Michael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FIGURE TECHNOLOGY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Figure Technology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FIGR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8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1221"/>
        <w:gridCol w:w="801"/>
        <w:gridCol w:w="1131"/>
        <w:gridCol w:w="831"/>
        <w:gridCol w:w="981"/>
      </w:tblGrid>
      <w:tr>
        <w:trPr>
          <w:tblHeader w:val="true"/>
        </w:trPr>
        <w:tc>
          <w:tcPr>
            <w:tcW w:w="128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29,958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31.8</w:t>
            </w:r>
            <w:r>
              <w:rPr/>
              <w:t xml:space="preserve"> 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4,806,399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31,521,107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31,521,107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Family Trust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3,185,970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3,185,970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Children's Trust 1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3,185,970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3,185,970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Children's Trust 2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outstanding share of Class B Common Stock will be convertible at any time at the option of the holder into one share of Class A Common Stock. In addition, each share of Class B Common Stock will convert automatically into one share of Class A Common Stock upon any transfer, whether or not for value, except for certain permitted transfers.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tax liability on vesting of restricted stock units. Not a market sale.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a gift transfer exempt from reporting pursuant to Rule 16a-13.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Macrina Kgil,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4897" TargetMode="External"/><Relationship Id="rId5" Type="http://schemas.openxmlformats.org/officeDocument/2006/relationships/hyperlink" Target="http://www.sec.gov/cgi-bin/browse-edgar?action=getcompany&amp;CIK=00020641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722</Words>
  <Characters>3825</Characters>
  <CharactersWithSpaces>4465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