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80"/>
        <w:jc w:val="both"/>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120"/>
        <w:jc w:val="center"/>
        <w:rPr>
          <w:rFonts w:ascii="Times New Roman;serif" w:hAnsi="Times New Roman;serif"/>
          <w:b/>
          <w:color w:val="000000"/>
          <w:sz w:val="12"/>
        </w:rPr>
      </w:pPr>
      <w:r>
        <w:rPr>
          <w:rFonts w:ascii="Times New Roman;serif" w:hAnsi="Times New Roman;serif"/>
          <w:b/>
          <w:color w:val="000000"/>
          <w:sz w:val="12"/>
        </w:rPr>
        <w:t>_____________________________________________</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10-K</w:t>
      </w:r>
    </w:p>
    <w:p>
      <w:pPr>
        <w:pStyle w:val="TextBody"/>
        <w:bidi w:val="0"/>
        <w:spacing w:lineRule="auto" w:line="288" w:before="60" w:after="60"/>
        <w:jc w:val="left"/>
        <w:rPr>
          <w:rFonts w:ascii="Times New Roman;serif" w:hAnsi="Times New Roman;serif"/>
          <w:b w:val="false"/>
          <w:color w:val="000000"/>
          <w:sz w:val="16"/>
        </w:rPr>
      </w:pPr>
      <w:r>
        <w:rPr>
          <w:rFonts w:ascii="Times New Roman;serif" w:hAnsi="Times New Roman;serif"/>
          <w:b w:val="false"/>
          <w:color w:val="000000"/>
          <w:sz w:val="16"/>
        </w:rPr>
        <w:t>(Mark One)</w:t>
      </w:r>
    </w:p>
    <w:tbl>
      <w:tblPr>
        <w:tblW w:w="9927" w:type="dxa"/>
        <w:jc w:val="center"/>
        <w:tblInd w:w="0" w:type="dxa"/>
        <w:tblLayout w:type="fixed"/>
        <w:tblCellMar>
          <w:top w:w="28" w:type="dxa"/>
          <w:left w:w="28" w:type="dxa"/>
          <w:bottom w:w="28" w:type="dxa"/>
          <w:right w:w="28" w:type="dxa"/>
        </w:tblCellMar>
      </w:tblPr>
      <w:tblGrid>
        <w:gridCol w:w="124"/>
        <w:gridCol w:w="109"/>
        <w:gridCol w:w="109"/>
        <w:gridCol w:w="2808"/>
        <w:gridCol w:w="2808"/>
        <w:gridCol w:w="396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8" w:type="dxa"/>
            <w:tcBorders/>
            <w:vAlign w:val="center"/>
          </w:tcPr>
          <w:p>
            <w:pPr>
              <w:pStyle w:val="TableContents"/>
              <w:bidi w:val="0"/>
              <w:spacing w:before="0" w:after="283"/>
              <w:jc w:val="left"/>
              <w:rPr>
                <w:sz w:val="4"/>
                <w:szCs w:val="4"/>
              </w:rPr>
            </w:pPr>
            <w:r>
              <w:rPr>
                <w:sz w:val="4"/>
                <w:szCs w:val="4"/>
              </w:rPr>
            </w:r>
          </w:p>
        </w:tc>
        <w:tc>
          <w:tcPr>
            <w:tcW w:w="2808" w:type="dxa"/>
            <w:tcBorders/>
            <w:vAlign w:val="center"/>
          </w:tcPr>
          <w:p>
            <w:pPr>
              <w:pStyle w:val="TableContents"/>
              <w:bidi w:val="0"/>
              <w:spacing w:before="0" w:after="283"/>
              <w:jc w:val="left"/>
              <w:rPr>
                <w:sz w:val="4"/>
                <w:szCs w:val="4"/>
              </w:rPr>
            </w:pPr>
            <w:r>
              <w:rPr>
                <w:sz w:val="4"/>
                <w:szCs w:val="4"/>
              </w:rPr>
            </w:r>
          </w:p>
        </w:tc>
        <w:tc>
          <w:tcPr>
            <w:tcW w:w="396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180"/>
              <w:jc w:val="left"/>
              <w:rPr>
                <w:color w:val="000000"/>
              </w:rPr>
            </w:pPr>
            <w:r>
              <w:rPr>
                <w:color w:val="000000"/>
              </w:rPr>
              <w:t>☒</w:t>
            </w:r>
          </w:p>
        </w:tc>
        <w:tc>
          <w:tcPr>
            <w:tcW w:w="9585"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ANNUAL REPORT PURSUANT TO SECTION 13 OR 15(d) OF THE SECURITIES EXCHANGE ACT OF 1934</w:t>
            </w:r>
          </w:p>
        </w:tc>
      </w:tr>
    </w:tbl>
    <w:p>
      <w:pPr>
        <w:pStyle w:val="TextBody"/>
        <w:bidi w:val="0"/>
        <w:spacing w:lineRule="auto" w:line="288" w:before="60" w:after="60"/>
        <w:jc w:val="center"/>
        <w:rPr>
          <w:rFonts w:ascii="Times New Roman;serif" w:hAnsi="Times New Roman;serif"/>
          <w:b/>
          <w:color w:val="000000"/>
          <w:sz w:val="20"/>
        </w:rPr>
      </w:pPr>
      <w:r>
        <w:rPr>
          <w:rFonts w:ascii="Times New Roman;serif" w:hAnsi="Times New Roman;serif"/>
          <w:b/>
          <w:color w:val="000000"/>
          <w:sz w:val="20"/>
        </w:rPr>
        <w:t>For the fiscal year ended December 31, 2025</w:t>
      </w:r>
    </w:p>
    <w:p>
      <w:pPr>
        <w:pStyle w:val="TextBody"/>
        <w:bidi w:val="0"/>
        <w:spacing w:lineRule="auto" w:line="288" w:before="60" w:after="60"/>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180"/>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60" w:after="60"/>
        <w:jc w:val="center"/>
        <w:rPr>
          <w:rFonts w:ascii="Times New Roman;serif" w:hAnsi="Times New Roman;serif"/>
          <w:b/>
          <w:color w:val="000000"/>
          <w:sz w:val="20"/>
        </w:rPr>
      </w:pPr>
      <w:r>
        <w:rPr>
          <w:rFonts w:ascii="Times New Roman;serif" w:hAnsi="Times New Roman;serif"/>
          <w:b/>
          <w:color w:val="000000"/>
          <w:sz w:val="20"/>
        </w:rPr>
        <w:t>For the transition period from ___________ to ___________</w:t>
      </w:r>
    </w:p>
    <w:p>
      <w:pPr>
        <w:pStyle w:val="TextBody"/>
        <w:bidi w:val="0"/>
        <w:spacing w:lineRule="auto" w:line="288" w:before="60" w:after="60"/>
        <w:jc w:val="center"/>
        <w:rPr>
          <w:rFonts w:ascii="Times New Roman;serif" w:hAnsi="Times New Roman;serif"/>
          <w:b/>
          <w:color w:val="000000"/>
          <w:sz w:val="20"/>
        </w:rPr>
      </w:pPr>
      <w:r>
        <w:rPr>
          <w:rFonts w:ascii="Times New Roman;serif" w:hAnsi="Times New Roman;serif"/>
          <w:b/>
          <w:color w:val="000000"/>
          <w:sz w:val="20"/>
        </w:rPr>
        <w:t>Commission file number 001-42829</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w:t>
      </w:r>
    </w:p>
    <w:p>
      <w:pPr>
        <w:pStyle w:val="TextBody"/>
        <w:bidi w:val="0"/>
        <w:spacing w:lineRule="auto" w:line="288" w:before="0" w:after="60"/>
        <w:jc w:val="center"/>
        <w:rPr>
          <w:rFonts w:ascii="Times New Roman;serif" w:hAnsi="Times New Roman;serif"/>
          <w:b/>
          <w:color w:val="000000"/>
          <w:sz w:val="32"/>
        </w:rPr>
      </w:pPr>
      <w:r>
        <w:rPr>
          <w:rFonts w:ascii="Times New Roman;serif" w:hAnsi="Times New Roman;serif"/>
          <w:b/>
          <w:color w:val="000000"/>
          <w:sz w:val="32"/>
        </w:rPr>
        <w:t>FIGURE TECHNOLOGY SOLUTIONS,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w:t>
      </w:r>
    </w:p>
    <w:tbl>
      <w:tblPr>
        <w:tblW w:w="5335" w:type="dxa"/>
        <w:jc w:val="center"/>
        <w:tblInd w:w="0" w:type="dxa"/>
        <w:tblLayout w:type="fixed"/>
        <w:tblCellMar>
          <w:top w:w="28" w:type="dxa"/>
          <w:left w:w="28" w:type="dxa"/>
          <w:bottom w:w="28" w:type="dxa"/>
          <w:right w:w="28" w:type="dxa"/>
        </w:tblCellMar>
      </w:tblPr>
      <w:tblGrid>
        <w:gridCol w:w="1215"/>
        <w:gridCol w:w="1069"/>
        <w:gridCol w:w="1075"/>
        <w:gridCol w:w="109"/>
        <w:gridCol w:w="109"/>
        <w:gridCol w:w="109"/>
        <w:gridCol w:w="481"/>
        <w:gridCol w:w="481"/>
        <w:gridCol w:w="687"/>
      </w:tblGrid>
      <w:tr>
        <w:trPr/>
        <w:tc>
          <w:tcPr>
            <w:tcW w:w="1215"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Nevada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99-2556408</w:t>
            </w:r>
          </w:p>
        </w:tc>
      </w:tr>
      <w:tr>
        <w:trPr/>
        <w:tc>
          <w:tcPr>
            <w:tcW w:w="33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w:t>
              <w:br/>
              <w:t>Identification No.)</w:t>
            </w:r>
          </w:p>
        </w:tc>
      </w:tr>
      <w:tr>
        <w:trPr/>
        <w:tc>
          <w:tcPr>
            <w:tcW w:w="3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100 West Liberty Street, Suite 600</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Reno, NV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89501</w:t>
            </w:r>
          </w:p>
        </w:tc>
      </w:tr>
      <w:tr>
        <w:trPr/>
        <w:tc>
          <w:tcPr>
            <w:tcW w:w="33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120" w:after="12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 (917) 789-8049</w:t>
      </w:r>
    </w:p>
    <w:p>
      <w:pPr>
        <w:pStyle w:val="TextBody"/>
        <w:bidi w:val="0"/>
        <w:spacing w:lineRule="auto" w:line="288" w:before="60" w:after="6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1528"/>
        <w:gridCol w:w="1329"/>
        <w:gridCol w:w="1344"/>
        <w:gridCol w:w="109"/>
        <w:gridCol w:w="109"/>
        <w:gridCol w:w="109"/>
        <w:gridCol w:w="550"/>
        <w:gridCol w:w="550"/>
        <w:gridCol w:w="552"/>
        <w:gridCol w:w="109"/>
        <w:gridCol w:w="109"/>
        <w:gridCol w:w="109"/>
        <w:gridCol w:w="1079"/>
        <w:gridCol w:w="1079"/>
        <w:gridCol w:w="1540"/>
      </w:tblGrid>
      <w:tr>
        <w:trPr/>
        <w:tc>
          <w:tcPr>
            <w:tcW w:w="1528"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540" w:type="dxa"/>
            <w:tcBorders/>
            <w:vAlign w:val="center"/>
          </w:tcPr>
          <w:p>
            <w:pPr>
              <w:pStyle w:val="TableContents"/>
              <w:bidi w:val="0"/>
              <w:spacing w:before="0" w:after="283"/>
              <w:jc w:val="left"/>
              <w:rPr>
                <w:sz w:val="4"/>
                <w:szCs w:val="4"/>
              </w:rPr>
            </w:pPr>
            <w:r>
              <w:rPr>
                <w:sz w:val="4"/>
                <w:szCs w:val="4"/>
              </w:rPr>
            </w:r>
          </w:p>
        </w:tc>
      </w:tr>
      <w:tr>
        <w:trPr/>
        <w:tc>
          <w:tcPr>
            <w:tcW w:w="4201"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8"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42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Class A Common Stock, par value $0.0001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FIGR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The Nasdaq Global Select Market</w:t>
            </w:r>
          </w:p>
        </w:tc>
      </w:tr>
    </w:tbl>
    <w:p>
      <w:pPr>
        <w:pStyle w:val="TextBody"/>
        <w:bidi w:val="0"/>
        <w:spacing w:lineRule="auto" w:line="288" w:before="60" w:after="6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12(g) of the Act: Series A Blockchain Common Stock, par value $0.0001 per share</w:t>
      </w:r>
    </w:p>
    <w:p>
      <w:pPr>
        <w:pStyle w:val="TextBody"/>
        <w:bidi w:val="0"/>
        <w:spacing w:lineRule="auto" w:line="288" w:before="60" w:after="60"/>
        <w:jc w:val="left"/>
        <w:rPr>
          <w:rFonts w:ascii="Times New Roman;serif" w:hAnsi="Times New Roman;serif"/>
          <w:b w:val="false"/>
          <w:color w:val="000000"/>
          <w:sz w:val="20"/>
        </w:rPr>
      </w:pPr>
      <w:r>
        <w:rPr>
          <w:rFonts w:ascii="Times New Roman;serif" w:hAnsi="Times New Roman;serif"/>
          <w:b w:val="false"/>
          <w:color w:val="000000"/>
          <w:sz w:val="20"/>
        </w:rPr>
        <w:t>Indicate by check mark if the registrant is a well-known seasoned issuer, as defined in Rule 405 of the Securities Act.</w:t>
      </w:r>
    </w:p>
    <w:p>
      <w:pPr>
        <w:pStyle w:val="TextBody"/>
        <w:bidi w:val="0"/>
        <w:spacing w:lineRule="auto" w:line="288" w:before="60" w:after="60"/>
        <w:jc w:val="left"/>
        <w:rPr/>
      </w:pPr>
      <w:r>
        <w:rPr>
          <w:rFonts w:ascii="Times New Roman;serif" w:hAnsi="Times New Roman;serif"/>
          <w:b w:val="false"/>
          <w:color w:val="000000"/>
          <w:sz w:val="20"/>
        </w:rPr>
        <w:t xml:space="preserve">Yes </w:t>
      </w:r>
      <w:r>
        <w:rPr>
          <w:color w:val="000000"/>
        </w:rPr>
        <w:t xml:space="preserve">☐ </w:t>
      </w:r>
      <w:r>
        <w:rPr>
          <w:rFonts w:ascii="Times New Roman;serif" w:hAnsi="Times New Roman;serif"/>
          <w:b w:val="false"/>
          <w:color w:val="000000"/>
          <w:sz w:val="20"/>
        </w:rPr>
        <w:t>No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Indicate by check mark if the registrant is not required to file reports pursuant to Section 13 or Section 15(d) of the Exchange Act.</w:t>
      </w:r>
    </w:p>
    <w:p>
      <w:pPr>
        <w:pStyle w:val="TextBody"/>
        <w:bidi w:val="0"/>
        <w:spacing w:lineRule="auto" w:line="288" w:before="60" w:after="60"/>
        <w:jc w:val="left"/>
        <w:rPr/>
      </w:pPr>
      <w:r>
        <w:rPr>
          <w:rFonts w:ascii="Times New Roman;serif" w:hAnsi="Times New Roman;serif"/>
          <w:b w:val="false"/>
          <w:color w:val="000000"/>
          <w:sz w:val="20"/>
        </w:rPr>
        <w:t xml:space="preserve">Yes </w:t>
      </w:r>
      <w:r>
        <w:rPr>
          <w:color w:val="000000"/>
        </w:rPr>
        <w:t xml:space="preserve">☐ </w:t>
      </w:r>
      <w:r>
        <w:rPr>
          <w:rFonts w:ascii="Times New Roman;serif" w:hAnsi="Times New Roman;serif"/>
          <w:b w:val="false"/>
          <w:color w:val="000000"/>
          <w:sz w:val="20"/>
        </w:rPr>
        <w:t>No ☒</w:t>
      </w:r>
    </w:p>
    <w:p>
      <w:pPr>
        <w:pStyle w:val="TextBody"/>
        <w:bidi w:val="0"/>
        <w:spacing w:lineRule="auto" w:line="288" w:before="60" w:after="60"/>
        <w:jc w:val="left"/>
        <w:rPr/>
      </w:pPr>
      <w:r>
        <w:rPr>
          <w:rFonts w:ascii="Times New Roman;serif" w:hAnsi="Times New Roman;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r>
        <w:rPr>
          <w:color w:val="000000"/>
        </w:rPr>
        <w:t>☐</w:t>
      </w:r>
    </w:p>
    <w:p>
      <w:pPr>
        <w:pStyle w:val="TextBody"/>
        <w:bidi w:val="0"/>
        <w:spacing w:before="60" w:after="60"/>
        <w:jc w:val="left"/>
        <w:rPr/>
      </w:pPr>
      <w:r>
        <w:rPr/>
      </w:r>
    </w:p>
    <w:p>
      <w:pPr>
        <w:pStyle w:val="TextBody"/>
        <w:bidi w:val="0"/>
        <w:spacing w:lineRule="auto" w:line="288" w:before="0" w:after="180"/>
        <w:jc w:val="left"/>
        <w:rPr/>
      </w:pPr>
      <w:r>
        <w:rPr>
          <w:rFonts w:ascii="Times New Roman;serif" w:hAnsi="Times New Roman;serif"/>
          <w:b w:val="false"/>
          <w:color w:val="000000"/>
          <w:sz w:val="20"/>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 No </w:t>
      </w:r>
      <w:r>
        <w:rPr>
          <w:color w:val="00000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both"/>
                        <w:rPr/>
                      </w:pPr>
                      <w:r>
                        <w:rPr/>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60" w:after="6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301" w:type="dxa"/>
        <w:jc w:val="left"/>
        <w:tblInd w:w="0" w:type="dxa"/>
        <w:tblLayout w:type="fixed"/>
        <w:tblCellMar>
          <w:top w:w="28" w:type="dxa"/>
          <w:left w:w="28" w:type="dxa"/>
          <w:bottom w:w="28" w:type="dxa"/>
          <w:right w:w="28" w:type="dxa"/>
        </w:tblCellMar>
      </w:tblPr>
      <w:tblGrid>
        <w:gridCol w:w="711"/>
        <w:gridCol w:w="625"/>
        <w:gridCol w:w="629"/>
        <w:gridCol w:w="109"/>
        <w:gridCol w:w="109"/>
        <w:gridCol w:w="109"/>
        <w:gridCol w:w="109"/>
        <w:gridCol w:w="109"/>
        <w:gridCol w:w="109"/>
        <w:gridCol w:w="769"/>
        <w:gridCol w:w="769"/>
        <w:gridCol w:w="772"/>
        <w:gridCol w:w="109"/>
        <w:gridCol w:w="109"/>
        <w:gridCol w:w="154"/>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180"/>
              <w:jc w:val="left"/>
              <w:rPr>
                <w:color w:val="000000"/>
              </w:rPr>
            </w:pPr>
            <w:r>
              <w:rPr>
                <w:color w:val="000000"/>
              </w:rPr>
              <w:t>☐</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180"/>
              <w:jc w:val="left"/>
              <w:rPr>
                <w:color w:val="000000"/>
              </w:rPr>
            </w:pPr>
            <w:r>
              <w:rPr>
                <w:color w:val="000000"/>
              </w:rPr>
              <w:t>☒</w:t>
            </w:r>
          </w:p>
        </w:tc>
      </w:tr>
    </w:tbl>
    <w:p>
      <w:pPr>
        <w:pStyle w:val="TextBody"/>
        <w:bidi w:val="0"/>
        <w:spacing w:lineRule="auto" w:line="288" w:before="60" w:after="6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60" w:after="6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p>
    <w:p>
      <w:pPr>
        <w:pStyle w:val="TextBody"/>
        <w:bidi w:val="0"/>
        <w:spacing w:before="60" w:after="6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before="0" w:after="18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lineRule="auto" w:line="288" w:before="0" w:after="180"/>
        <w:jc w:val="left"/>
        <w:rPr/>
      </w:pPr>
      <w:r>
        <w:rPr>
          <w:rFonts w:ascii="Times New Roman;serif" w:hAnsi="Times New Roman;serif"/>
          <w:b w:val="false"/>
          <w:color w:val="000000"/>
          <w:sz w:val="20"/>
        </w:rPr>
        <w:t xml:space="preserve">Indicate by check mark whether the registrant is a shell company (as defined in Rule 12b-2 of the Act). Yes </w:t>
      </w:r>
      <w:r>
        <w:rPr>
          <w:color w:val="000000"/>
        </w:rPr>
        <w:t xml:space="preserve">☐ </w:t>
      </w:r>
      <w:r>
        <w:rPr>
          <w:rFonts w:ascii="Times New Roman;serif" w:hAnsi="Times New Roman;serif"/>
          <w:b w:val="false"/>
          <w:color w:val="000000"/>
          <w:sz w:val="20"/>
        </w:rPr>
        <w:t xml:space="preserve">No </w:t>
      </w:r>
      <w:r>
        <w:rPr>
          <w:color w:val="000000"/>
        </w:rPr>
        <w:t xml:space="preserve">☒ </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As of March 10, 2026, registrant had outstanding 177,425,569 shares of Class A common stock, net of treasury shares, 37,893,047 shares of Class B common stock and 1,031,710 shares of Blockchain common stock.</w:t>
      </w:r>
    </w:p>
    <w:p>
      <w:pPr>
        <w:pStyle w:val="TextBody"/>
        <w:bidi w:val="0"/>
        <w:spacing w:before="0" w:after="180"/>
        <w:jc w:val="both"/>
        <w:rPr/>
      </w:pPr>
      <w:r>
        <w:rPr/>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DOCUMENTS INCORPORATED BY REFERENCE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Portions of the registrant's definitive proxy statement relating to its 2026 Annual Meeting of Stockholders to be filed with the SEC within 120 days after the end of the fiscal year ended December 31, 2025 are incorporated herein by reference in Part III of this Annual Report on Form 10-K.</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both"/>
                        <w:rPr/>
                      </w:pPr>
                      <w:r>
                        <w:rPr/>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288"/>
        <w:gridCol w:w="254"/>
        <w:gridCol w:w="255"/>
        <w:gridCol w:w="2854"/>
        <w:gridCol w:w="2831"/>
        <w:gridCol w:w="2845"/>
        <w:gridCol w:w="255"/>
        <w:gridCol w:w="255"/>
        <w:gridCol w:w="368"/>
      </w:tblGrid>
      <w:tr>
        <w:trPr/>
        <w:tc>
          <w:tcPr>
            <w:tcW w:w="288"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854" w:type="dxa"/>
            <w:tcBorders/>
            <w:vAlign w:val="center"/>
          </w:tcPr>
          <w:p>
            <w:pPr>
              <w:pStyle w:val="TableContents"/>
              <w:bidi w:val="0"/>
              <w:spacing w:before="0" w:after="283"/>
              <w:jc w:val="left"/>
              <w:rPr>
                <w:sz w:val="4"/>
                <w:szCs w:val="4"/>
              </w:rPr>
            </w:pPr>
            <w:r>
              <w:rPr>
                <w:sz w:val="4"/>
                <w:szCs w:val="4"/>
              </w:rPr>
            </w:r>
          </w:p>
        </w:tc>
        <w:tc>
          <w:tcPr>
            <w:tcW w:w="2831" w:type="dxa"/>
            <w:tcBorders/>
            <w:vAlign w:val="center"/>
          </w:tcPr>
          <w:p>
            <w:pPr>
              <w:pStyle w:val="TableContents"/>
              <w:bidi w:val="0"/>
              <w:spacing w:before="0" w:after="283"/>
              <w:jc w:val="left"/>
              <w:rPr>
                <w:sz w:val="4"/>
                <w:szCs w:val="4"/>
              </w:rPr>
            </w:pPr>
            <w:r>
              <w:rPr>
                <w:sz w:val="4"/>
                <w:szCs w:val="4"/>
              </w:rPr>
            </w:r>
          </w:p>
        </w:tc>
        <w:tc>
          <w:tcPr>
            <w:tcW w:w="284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r>
      <w:tr>
        <w:trPr/>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Page No.</w:t>
            </w:r>
          </w:p>
        </w:tc>
      </w:tr>
      <w:tr>
        <w:trPr/>
        <w:tc>
          <w:tcPr>
            <w:tcW w:w="9327"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8e13d1b6f3764394b0e424082d2ac79f_13">
              <w:r>
                <w:rPr>
                  <w:rStyle w:val="InternetLink"/>
                  <w:rFonts w:ascii="Times New Roman;serif" w:hAnsi="Times New Roman;serif"/>
                  <w:b/>
                  <w:color w:val="0000FF"/>
                  <w:sz w:val="20"/>
                  <w:u w:val="single"/>
                </w:rPr>
                <w:t>Part I</w:t>
              </w:r>
            </w:hyperlink>
          </w:p>
        </w:tc>
        <w:tc>
          <w:tcPr>
            <w:tcW w:w="8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13d1b6f3764394b0e424082d2ac79f_16">
              <w:r>
                <w:rPr>
                  <w:rStyle w:val="InternetLink"/>
                  <w:rFonts w:ascii="Times New Roman;serif" w:hAnsi="Times New Roman;serif"/>
                  <w:b w:val="false"/>
                  <w:color w:val="0000FF"/>
                  <w:sz w:val="20"/>
                  <w:u w:val="single"/>
                </w:rPr>
                <w:t>Item 1.</w:t>
              </w:r>
            </w:hyperlink>
          </w:p>
        </w:tc>
        <w:tc>
          <w:tcPr>
            <w:tcW w:w="85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13d1b6f3764394b0e424082d2ac79f_16">
              <w:r>
                <w:rPr>
                  <w:rStyle w:val="InternetLink"/>
                  <w:rFonts w:ascii="Times New Roman;serif" w:hAnsi="Times New Roman;serif"/>
                  <w:b w:val="false"/>
                  <w:color w:val="0000FF"/>
                  <w:sz w:val="20"/>
                  <w:u w:val="single"/>
                </w:rPr>
                <w:t>Business</w:t>
              </w:r>
            </w:hyperlink>
          </w:p>
        </w:tc>
        <w:tc>
          <w:tcPr>
            <w:tcW w:w="87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e13d1b6f3764394b0e424082d2ac79f_16">
              <w:r>
                <w:rPr>
                  <w:rStyle w:val="InternetLink"/>
                  <w:rFonts w:ascii="Times New Roman;serif" w:hAnsi="Times New Roman;serif"/>
                  <w:b w:val="false"/>
                  <w:color w:val="0000FF"/>
                  <w:sz w:val="20"/>
                  <w:u w:val="single"/>
                </w:rPr>
                <w:t>7</w:t>
              </w:r>
            </w:hyperlink>
          </w:p>
        </w:tc>
      </w:tr>
      <w:tr>
        <w:trPr/>
        <w:tc>
          <w:tcPr>
            <w:tcW w:w="7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13d1b6f3764394b0e424082d2ac79f_25">
              <w:r>
                <w:rPr>
                  <w:rStyle w:val="InternetLink"/>
                  <w:rFonts w:ascii="Times New Roman;serif" w:hAnsi="Times New Roman;serif"/>
                  <w:b w:val="false"/>
                  <w:color w:val="0000FF"/>
                  <w:sz w:val="20"/>
                  <w:u w:val="single"/>
                </w:rPr>
                <w:t>Item 1A.</w:t>
              </w:r>
            </w:hyperlink>
          </w:p>
        </w:tc>
        <w:tc>
          <w:tcPr>
            <w:tcW w:w="85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13d1b6f3764394b0e424082d2ac79f_25">
              <w:r>
                <w:rPr>
                  <w:rStyle w:val="InternetLink"/>
                  <w:rFonts w:ascii="Times New Roman;serif" w:hAnsi="Times New Roman;serif"/>
                  <w:b w:val="false"/>
                  <w:color w:val="0000FF"/>
                  <w:sz w:val="20"/>
                  <w:u w:val="single"/>
                </w:rPr>
                <w:t>Risk Factors</w:t>
              </w:r>
            </w:hyperlink>
          </w:p>
        </w:tc>
        <w:tc>
          <w:tcPr>
            <w:tcW w:w="87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e13d1b6f3764394b0e424082d2ac79f_25">
              <w:r>
                <w:rPr>
                  <w:rStyle w:val="InternetLink"/>
                  <w:rFonts w:ascii="Times New Roman;serif" w:hAnsi="Times New Roman;serif"/>
                  <w:b w:val="false"/>
                  <w:color w:val="0000FF"/>
                  <w:sz w:val="20"/>
                  <w:u w:val="single"/>
                </w:rPr>
                <w:t>17</w:t>
              </w:r>
            </w:hyperlink>
          </w:p>
        </w:tc>
      </w:tr>
      <w:tr>
        <w:trPr/>
        <w:tc>
          <w:tcPr>
            <w:tcW w:w="7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13d1b6f3764394b0e424082d2ac79f_58">
              <w:r>
                <w:rPr>
                  <w:rStyle w:val="InternetLink"/>
                  <w:rFonts w:ascii="Times New Roman;serif" w:hAnsi="Times New Roman;serif"/>
                  <w:b w:val="false"/>
                  <w:color w:val="0000FF"/>
                  <w:sz w:val="20"/>
                  <w:u w:val="single"/>
                </w:rPr>
                <w:t>Item 1B.</w:t>
              </w:r>
            </w:hyperlink>
          </w:p>
        </w:tc>
        <w:tc>
          <w:tcPr>
            <w:tcW w:w="85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13d1b6f3764394b0e424082d2ac79f_58">
              <w:r>
                <w:rPr>
                  <w:rStyle w:val="InternetLink"/>
                  <w:rFonts w:ascii="Times New Roman;serif" w:hAnsi="Times New Roman;serif"/>
                  <w:b w:val="false"/>
                  <w:color w:val="0000FF"/>
                  <w:sz w:val="20"/>
                  <w:u w:val="single"/>
                </w:rPr>
                <w:t>Unresolved Staff Comments</w:t>
              </w:r>
            </w:hyperlink>
          </w:p>
        </w:tc>
        <w:tc>
          <w:tcPr>
            <w:tcW w:w="87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e13d1b6f3764394b0e424082d2ac79f_58">
              <w:r>
                <w:rPr>
                  <w:rStyle w:val="InternetLink"/>
                  <w:rFonts w:ascii="Times New Roman;serif" w:hAnsi="Times New Roman;serif"/>
                  <w:b w:val="false"/>
                  <w:color w:val="0000FF"/>
                  <w:sz w:val="20"/>
                  <w:u w:val="single"/>
                </w:rPr>
                <w:t>97</w:t>
              </w:r>
            </w:hyperlink>
          </w:p>
        </w:tc>
      </w:tr>
      <w:tr>
        <w:trPr/>
        <w:tc>
          <w:tcPr>
            <w:tcW w:w="7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13d1b6f3764394b0e424082d2ac79f_61">
              <w:r>
                <w:rPr>
                  <w:rStyle w:val="InternetLink"/>
                  <w:rFonts w:ascii="Times New Roman;serif" w:hAnsi="Times New Roman;serif"/>
                  <w:b w:val="false"/>
                  <w:color w:val="0000FF"/>
                  <w:sz w:val="20"/>
                  <w:u w:val="single"/>
                </w:rPr>
                <w:t>Item 1C.</w:t>
              </w:r>
            </w:hyperlink>
          </w:p>
        </w:tc>
        <w:tc>
          <w:tcPr>
            <w:tcW w:w="85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13d1b6f3764394b0e424082d2ac79f_61">
              <w:r>
                <w:rPr>
                  <w:rStyle w:val="InternetLink"/>
                  <w:rFonts w:ascii="Times New Roman;serif" w:hAnsi="Times New Roman;serif"/>
                  <w:b w:val="false"/>
                  <w:color w:val="0000FF"/>
                  <w:sz w:val="20"/>
                  <w:u w:val="single"/>
                </w:rPr>
                <w:t>Cybersecurity</w:t>
              </w:r>
            </w:hyperlink>
          </w:p>
        </w:tc>
        <w:tc>
          <w:tcPr>
            <w:tcW w:w="87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e13d1b6f3764394b0e424082d2ac79f_61">
              <w:r>
                <w:rPr>
                  <w:rStyle w:val="InternetLink"/>
                  <w:rFonts w:ascii="Times New Roman;serif" w:hAnsi="Times New Roman;serif"/>
                  <w:b w:val="false"/>
                  <w:color w:val="0000FF"/>
                  <w:sz w:val="20"/>
                  <w:u w:val="single"/>
                </w:rPr>
                <w:t>97</w:t>
              </w:r>
            </w:hyperlink>
          </w:p>
        </w:tc>
      </w:tr>
      <w:tr>
        <w:trPr/>
        <w:tc>
          <w:tcPr>
            <w:tcW w:w="7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13d1b6f3764394b0e424082d2ac79f_64">
              <w:r>
                <w:rPr>
                  <w:rStyle w:val="InternetLink"/>
                  <w:rFonts w:ascii="Times New Roman;serif" w:hAnsi="Times New Roman;serif"/>
                  <w:b w:val="false"/>
                  <w:color w:val="0000FF"/>
                  <w:sz w:val="20"/>
                  <w:u w:val="single"/>
                </w:rPr>
                <w:t>Item 2.</w:t>
              </w:r>
            </w:hyperlink>
          </w:p>
        </w:tc>
        <w:tc>
          <w:tcPr>
            <w:tcW w:w="85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13d1b6f3764394b0e424082d2ac79f_64">
              <w:r>
                <w:rPr>
                  <w:rStyle w:val="InternetLink"/>
                  <w:rFonts w:ascii="Times New Roman;serif" w:hAnsi="Times New Roman;serif"/>
                  <w:b w:val="false"/>
                  <w:color w:val="0000FF"/>
                  <w:sz w:val="20"/>
                  <w:u w:val="single"/>
                </w:rPr>
                <w:t>Properties</w:t>
              </w:r>
            </w:hyperlink>
          </w:p>
        </w:tc>
        <w:tc>
          <w:tcPr>
            <w:tcW w:w="87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e13d1b6f3764394b0e424082d2ac79f_64">
              <w:r>
                <w:rPr>
                  <w:rStyle w:val="InternetLink"/>
                  <w:rFonts w:ascii="Times New Roman;serif" w:hAnsi="Times New Roman;serif"/>
                  <w:b w:val="false"/>
                  <w:color w:val="0000FF"/>
                  <w:sz w:val="20"/>
                  <w:u w:val="single"/>
                </w:rPr>
                <w:t>98</w:t>
              </w:r>
            </w:hyperlink>
          </w:p>
        </w:tc>
      </w:tr>
      <w:tr>
        <w:trPr/>
        <w:tc>
          <w:tcPr>
            <w:tcW w:w="7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13d1b6f3764394b0e424082d2ac79f_67">
              <w:r>
                <w:rPr>
                  <w:rStyle w:val="InternetLink"/>
                  <w:rFonts w:ascii="Times New Roman;serif" w:hAnsi="Times New Roman;serif"/>
                  <w:b w:val="false"/>
                  <w:color w:val="0000FF"/>
                  <w:sz w:val="20"/>
                  <w:u w:val="single"/>
                </w:rPr>
                <w:t>Item 3.</w:t>
              </w:r>
            </w:hyperlink>
          </w:p>
        </w:tc>
        <w:tc>
          <w:tcPr>
            <w:tcW w:w="85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13d1b6f3764394b0e424082d2ac79f_67">
              <w:r>
                <w:rPr>
                  <w:rStyle w:val="InternetLink"/>
                  <w:rFonts w:ascii="Times New Roman;serif" w:hAnsi="Times New Roman;serif"/>
                  <w:b w:val="false"/>
                  <w:color w:val="0000FF"/>
                  <w:sz w:val="20"/>
                  <w:u w:val="single"/>
                </w:rPr>
                <w:t>Legal Proceedings</w:t>
              </w:r>
            </w:hyperlink>
          </w:p>
        </w:tc>
        <w:tc>
          <w:tcPr>
            <w:tcW w:w="87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e13d1b6f3764394b0e424082d2ac79f_67">
              <w:r>
                <w:rPr>
                  <w:rStyle w:val="InternetLink"/>
                  <w:rFonts w:ascii="Times New Roman;serif" w:hAnsi="Times New Roman;serif"/>
                  <w:b w:val="false"/>
                  <w:color w:val="0000FF"/>
                  <w:sz w:val="20"/>
                  <w:u w:val="single"/>
                </w:rPr>
                <w:t>98</w:t>
              </w:r>
            </w:hyperlink>
          </w:p>
        </w:tc>
      </w:tr>
      <w:tr>
        <w:trPr/>
        <w:tc>
          <w:tcPr>
            <w:tcW w:w="7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13d1b6f3764394b0e424082d2ac79f_70">
              <w:r>
                <w:rPr>
                  <w:rStyle w:val="InternetLink"/>
                  <w:rFonts w:ascii="Times New Roman;serif" w:hAnsi="Times New Roman;serif"/>
                  <w:b w:val="false"/>
                  <w:color w:val="0000FF"/>
                  <w:sz w:val="20"/>
                  <w:u w:val="single"/>
                </w:rPr>
                <w:t>Item 4.</w:t>
              </w:r>
            </w:hyperlink>
          </w:p>
        </w:tc>
        <w:tc>
          <w:tcPr>
            <w:tcW w:w="85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13d1b6f3764394b0e424082d2ac79f_70">
              <w:r>
                <w:rPr>
                  <w:rStyle w:val="InternetLink"/>
                  <w:rFonts w:ascii="Times New Roman;serif" w:hAnsi="Times New Roman;serif"/>
                  <w:b w:val="false"/>
                  <w:color w:val="0000FF"/>
                  <w:sz w:val="20"/>
                  <w:u w:val="single"/>
                </w:rPr>
                <w:t>Mine Safety Disclosures</w:t>
              </w:r>
            </w:hyperlink>
          </w:p>
        </w:tc>
        <w:tc>
          <w:tcPr>
            <w:tcW w:w="87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e13d1b6f3764394b0e424082d2ac79f_70">
              <w:r>
                <w:rPr>
                  <w:rStyle w:val="InternetLink"/>
                  <w:rFonts w:ascii="Times New Roman;serif" w:hAnsi="Times New Roman;serif"/>
                  <w:b w:val="false"/>
                  <w:color w:val="0000FF"/>
                  <w:sz w:val="20"/>
                  <w:u w:val="single"/>
                </w:rPr>
                <w:t>98</w:t>
              </w:r>
            </w:hyperlink>
          </w:p>
        </w:tc>
      </w:tr>
      <w:tr>
        <w:trPr/>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27"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8e13d1b6f3764394b0e424082d2ac79f_73">
              <w:r>
                <w:rPr>
                  <w:rStyle w:val="InternetLink"/>
                  <w:rFonts w:ascii="Times New Roman;serif" w:hAnsi="Times New Roman;serif"/>
                  <w:b/>
                  <w:color w:val="0000FF"/>
                  <w:sz w:val="20"/>
                  <w:u w:val="single"/>
                </w:rPr>
                <w:t>Part II</w:t>
              </w:r>
            </w:hyperlink>
          </w:p>
        </w:tc>
        <w:tc>
          <w:tcPr>
            <w:tcW w:w="8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13d1b6f3764394b0e424082d2ac79f_76">
              <w:r>
                <w:rPr>
                  <w:rStyle w:val="InternetLink"/>
                  <w:rFonts w:ascii="Times New Roman;serif" w:hAnsi="Times New Roman;serif"/>
                  <w:b w:val="false"/>
                  <w:color w:val="0000FF"/>
                  <w:sz w:val="20"/>
                  <w:u w:val="single"/>
                </w:rPr>
                <w:t>Item 5.</w:t>
              </w:r>
            </w:hyperlink>
          </w:p>
        </w:tc>
        <w:tc>
          <w:tcPr>
            <w:tcW w:w="85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13d1b6f3764394b0e424082d2ac79f_76">
              <w:r>
                <w:rPr>
                  <w:rStyle w:val="InternetLink"/>
                  <w:rFonts w:ascii="Times New Roman;serif" w:hAnsi="Times New Roman;serif"/>
                  <w:b w:val="false"/>
                  <w:color w:val="0000FF"/>
                  <w:sz w:val="20"/>
                  <w:u w:val="single"/>
                </w:rPr>
                <w:t>Market for Registrant's Common Equity; Related Stockholder Matters and Issuer Purchases of Equity Securities</w:t>
              </w:r>
            </w:hyperlink>
          </w:p>
        </w:tc>
        <w:tc>
          <w:tcPr>
            <w:tcW w:w="87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e13d1b6f3764394b0e424082d2ac79f_76">
              <w:r>
                <w:rPr>
                  <w:rStyle w:val="InternetLink"/>
                  <w:rFonts w:ascii="Times New Roman;serif" w:hAnsi="Times New Roman;serif"/>
                  <w:b w:val="false"/>
                  <w:color w:val="0000FF"/>
                  <w:sz w:val="20"/>
                  <w:u w:val="single"/>
                </w:rPr>
                <w:t>99</w:t>
              </w:r>
            </w:hyperlink>
          </w:p>
        </w:tc>
      </w:tr>
      <w:tr>
        <w:trPr/>
        <w:tc>
          <w:tcPr>
            <w:tcW w:w="7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13d1b6f3764394b0e424082d2ac79f_79">
              <w:r>
                <w:rPr>
                  <w:rStyle w:val="InternetLink"/>
                  <w:rFonts w:ascii="Times New Roman;serif" w:hAnsi="Times New Roman;serif"/>
                  <w:b w:val="false"/>
                  <w:color w:val="0000FF"/>
                  <w:sz w:val="20"/>
                  <w:u w:val="single"/>
                </w:rPr>
                <w:t>Item 6.</w:t>
              </w:r>
            </w:hyperlink>
          </w:p>
        </w:tc>
        <w:tc>
          <w:tcPr>
            <w:tcW w:w="85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13d1b6f3764394b0e424082d2ac79f_79">
              <w:r>
                <w:rPr>
                  <w:rStyle w:val="InternetLink"/>
                  <w:rFonts w:ascii="Times New Roman;serif" w:hAnsi="Times New Roman;serif"/>
                  <w:b w:val="false"/>
                  <w:color w:val="0000FF"/>
                  <w:sz w:val="20"/>
                  <w:u w:val="single"/>
                </w:rPr>
                <w:t>[Reserved]</w:t>
              </w:r>
            </w:hyperlink>
          </w:p>
        </w:tc>
        <w:tc>
          <w:tcPr>
            <w:tcW w:w="87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e13d1b6f3764394b0e424082d2ac79f_79">
              <w:r>
                <w:rPr>
                  <w:rStyle w:val="InternetLink"/>
                  <w:rFonts w:ascii="Times New Roman;serif" w:hAnsi="Times New Roman;serif"/>
                  <w:b w:val="false"/>
                  <w:color w:val="0000FF"/>
                  <w:sz w:val="20"/>
                  <w:u w:val="single"/>
                </w:rPr>
                <w:t>100</w:t>
              </w:r>
            </w:hyperlink>
          </w:p>
        </w:tc>
      </w:tr>
      <w:tr>
        <w:trPr/>
        <w:tc>
          <w:tcPr>
            <w:tcW w:w="7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13d1b6f3764394b0e424082d2ac79f_82">
              <w:r>
                <w:rPr>
                  <w:rStyle w:val="InternetLink"/>
                  <w:rFonts w:ascii="Times New Roman;serif" w:hAnsi="Times New Roman;serif"/>
                  <w:b w:val="false"/>
                  <w:color w:val="0000FF"/>
                  <w:sz w:val="20"/>
                  <w:u w:val="single"/>
                </w:rPr>
                <w:t>Item 7.</w:t>
              </w:r>
            </w:hyperlink>
          </w:p>
        </w:tc>
        <w:tc>
          <w:tcPr>
            <w:tcW w:w="85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13d1b6f3764394b0e424082d2ac79f_82">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87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e13d1b6f3764394b0e424082d2ac79f_82">
              <w:r>
                <w:rPr>
                  <w:rStyle w:val="InternetLink"/>
                  <w:rFonts w:ascii="Times New Roman;serif" w:hAnsi="Times New Roman;serif"/>
                  <w:b w:val="false"/>
                  <w:color w:val="0000FF"/>
                  <w:sz w:val="20"/>
                  <w:u w:val="single"/>
                </w:rPr>
                <w:t>100</w:t>
              </w:r>
            </w:hyperlink>
          </w:p>
        </w:tc>
      </w:tr>
      <w:tr>
        <w:trPr/>
        <w:tc>
          <w:tcPr>
            <w:tcW w:w="7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13d1b6f3764394b0e424082d2ac79f_148">
              <w:r>
                <w:rPr>
                  <w:rStyle w:val="InternetLink"/>
                  <w:rFonts w:ascii="Times New Roman;serif" w:hAnsi="Times New Roman;serif"/>
                  <w:b w:val="false"/>
                  <w:color w:val="0000FF"/>
                  <w:sz w:val="20"/>
                  <w:u w:val="single"/>
                </w:rPr>
                <w:t>Item 7A.</w:t>
              </w:r>
            </w:hyperlink>
          </w:p>
        </w:tc>
        <w:tc>
          <w:tcPr>
            <w:tcW w:w="85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13d1b6f3764394b0e424082d2ac79f_148">
              <w:r>
                <w:rPr>
                  <w:rStyle w:val="InternetLink"/>
                  <w:rFonts w:ascii="Times New Roman;serif" w:hAnsi="Times New Roman;serif"/>
                  <w:b w:val="false"/>
                  <w:color w:val="0000FF"/>
                  <w:sz w:val="20"/>
                  <w:u w:val="single"/>
                </w:rPr>
                <w:t>Quantitative and Qualitative Disclosures About Market Risk</w:t>
              </w:r>
            </w:hyperlink>
          </w:p>
        </w:tc>
        <w:tc>
          <w:tcPr>
            <w:tcW w:w="87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e13d1b6f3764394b0e424082d2ac79f_148">
              <w:r>
                <w:rPr>
                  <w:rStyle w:val="InternetLink"/>
                  <w:rFonts w:ascii="Times New Roman;serif" w:hAnsi="Times New Roman;serif"/>
                  <w:b w:val="false"/>
                  <w:color w:val="0000FF"/>
                  <w:sz w:val="20"/>
                  <w:u w:val="single"/>
                </w:rPr>
                <w:t>121</w:t>
              </w:r>
            </w:hyperlink>
          </w:p>
        </w:tc>
      </w:tr>
      <w:tr>
        <w:trPr/>
        <w:tc>
          <w:tcPr>
            <w:tcW w:w="7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13d1b6f3764394b0e424082d2ac79f_151">
              <w:r>
                <w:rPr>
                  <w:rStyle w:val="InternetLink"/>
                  <w:rFonts w:ascii="Times New Roman;serif" w:hAnsi="Times New Roman;serif"/>
                  <w:b w:val="false"/>
                  <w:color w:val="0000FF"/>
                  <w:sz w:val="20"/>
                  <w:u w:val="single"/>
                </w:rPr>
                <w:t>Item 8.</w:t>
              </w:r>
            </w:hyperlink>
          </w:p>
        </w:tc>
        <w:tc>
          <w:tcPr>
            <w:tcW w:w="85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13d1b6f3764394b0e424082d2ac79f_151">
              <w:r>
                <w:rPr>
                  <w:rStyle w:val="InternetLink"/>
                  <w:rFonts w:ascii="Times New Roman;serif" w:hAnsi="Times New Roman;serif"/>
                  <w:b w:val="false"/>
                  <w:color w:val="0000FF"/>
                  <w:sz w:val="20"/>
                  <w:u w:val="single"/>
                </w:rPr>
                <w:t>Financial Statements and Supplementary Data</w:t>
              </w:r>
            </w:hyperlink>
          </w:p>
        </w:tc>
        <w:tc>
          <w:tcPr>
            <w:tcW w:w="87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e13d1b6f3764394b0e424082d2ac79f_151">
              <w:r>
                <w:rPr>
                  <w:rStyle w:val="InternetLink"/>
                  <w:rFonts w:ascii="Times New Roman;serif" w:hAnsi="Times New Roman;serif"/>
                  <w:b w:val="false"/>
                  <w:color w:val="0000FF"/>
                  <w:sz w:val="20"/>
                  <w:u w:val="single"/>
                </w:rPr>
                <w:t>123</w:t>
              </w:r>
            </w:hyperlink>
          </w:p>
        </w:tc>
      </w:tr>
      <w:tr>
        <w:trPr/>
        <w:tc>
          <w:tcPr>
            <w:tcW w:w="797" w:type="dxa"/>
            <w:gridSpan w:val="3"/>
            <w:tcBorders/>
            <w:vAlign w:val="center"/>
          </w:tcPr>
          <w:p>
            <w:pPr>
              <w:pStyle w:val="TableContents"/>
              <w:bidi w:val="0"/>
              <w:spacing w:before="0" w:after="283"/>
              <w:jc w:val="left"/>
              <w:rPr>
                <w:sz w:val="4"/>
                <w:szCs w:val="4"/>
              </w:rPr>
            </w:pPr>
            <w:r>
              <w:rPr>
                <w:sz w:val="4"/>
                <w:szCs w:val="4"/>
              </w:rPr>
            </w:r>
          </w:p>
        </w:tc>
        <w:tc>
          <w:tcPr>
            <w:tcW w:w="8530"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r>
      <w:tr>
        <w:trPr/>
        <w:tc>
          <w:tcPr>
            <w:tcW w:w="797" w:type="dxa"/>
            <w:gridSpan w:val="3"/>
            <w:tcBorders/>
            <w:vAlign w:val="center"/>
          </w:tcPr>
          <w:p>
            <w:pPr>
              <w:pStyle w:val="TableContents"/>
              <w:bidi w:val="0"/>
              <w:spacing w:before="0" w:after="283"/>
              <w:jc w:val="left"/>
              <w:rPr>
                <w:sz w:val="4"/>
                <w:szCs w:val="4"/>
              </w:rPr>
            </w:pPr>
            <w:r>
              <w:rPr>
                <w:sz w:val="4"/>
                <w:szCs w:val="4"/>
              </w:rPr>
            </w:r>
          </w:p>
        </w:tc>
        <w:tc>
          <w:tcPr>
            <w:tcW w:w="8530"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r>
      <w:tr>
        <w:trPr/>
        <w:tc>
          <w:tcPr>
            <w:tcW w:w="797" w:type="dxa"/>
            <w:gridSpan w:val="3"/>
            <w:tcBorders/>
            <w:vAlign w:val="center"/>
          </w:tcPr>
          <w:p>
            <w:pPr>
              <w:pStyle w:val="TableContents"/>
              <w:bidi w:val="0"/>
              <w:spacing w:before="0" w:after="283"/>
              <w:jc w:val="left"/>
              <w:rPr>
                <w:sz w:val="4"/>
                <w:szCs w:val="4"/>
              </w:rPr>
            </w:pPr>
            <w:r>
              <w:rPr>
                <w:sz w:val="4"/>
                <w:szCs w:val="4"/>
              </w:rPr>
            </w:r>
          </w:p>
        </w:tc>
        <w:tc>
          <w:tcPr>
            <w:tcW w:w="8530"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r>
      <w:tr>
        <w:trPr/>
        <w:tc>
          <w:tcPr>
            <w:tcW w:w="797" w:type="dxa"/>
            <w:gridSpan w:val="3"/>
            <w:tcBorders/>
            <w:vAlign w:val="center"/>
          </w:tcPr>
          <w:p>
            <w:pPr>
              <w:pStyle w:val="TableContents"/>
              <w:bidi w:val="0"/>
              <w:spacing w:before="0" w:after="283"/>
              <w:jc w:val="left"/>
              <w:rPr>
                <w:sz w:val="4"/>
                <w:szCs w:val="4"/>
              </w:rPr>
            </w:pPr>
            <w:r>
              <w:rPr>
                <w:sz w:val="4"/>
                <w:szCs w:val="4"/>
              </w:rPr>
            </w:r>
          </w:p>
        </w:tc>
        <w:tc>
          <w:tcPr>
            <w:tcW w:w="8530"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r>
      <w:tr>
        <w:trPr/>
        <w:tc>
          <w:tcPr>
            <w:tcW w:w="797" w:type="dxa"/>
            <w:gridSpan w:val="3"/>
            <w:tcBorders/>
            <w:vAlign w:val="center"/>
          </w:tcPr>
          <w:p>
            <w:pPr>
              <w:pStyle w:val="TableContents"/>
              <w:bidi w:val="0"/>
              <w:spacing w:before="0" w:after="283"/>
              <w:jc w:val="left"/>
              <w:rPr>
                <w:sz w:val="4"/>
                <w:szCs w:val="4"/>
              </w:rPr>
            </w:pPr>
            <w:r>
              <w:rPr>
                <w:sz w:val="4"/>
                <w:szCs w:val="4"/>
              </w:rPr>
            </w:r>
          </w:p>
        </w:tc>
        <w:tc>
          <w:tcPr>
            <w:tcW w:w="8530"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r>
      <w:tr>
        <w:trPr/>
        <w:tc>
          <w:tcPr>
            <w:tcW w:w="797" w:type="dxa"/>
            <w:gridSpan w:val="3"/>
            <w:tcBorders/>
            <w:vAlign w:val="center"/>
          </w:tcPr>
          <w:p>
            <w:pPr>
              <w:pStyle w:val="TableContents"/>
              <w:bidi w:val="0"/>
              <w:spacing w:before="0" w:after="283"/>
              <w:jc w:val="left"/>
              <w:rPr>
                <w:sz w:val="4"/>
                <w:szCs w:val="4"/>
              </w:rPr>
            </w:pPr>
            <w:r>
              <w:rPr>
                <w:sz w:val="4"/>
                <w:szCs w:val="4"/>
              </w:rPr>
            </w:r>
          </w:p>
        </w:tc>
        <w:tc>
          <w:tcPr>
            <w:tcW w:w="8530"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r>
      <w:tr>
        <w:trPr/>
        <w:tc>
          <w:tcPr>
            <w:tcW w:w="797" w:type="dxa"/>
            <w:gridSpan w:val="3"/>
            <w:tcBorders/>
            <w:vAlign w:val="center"/>
          </w:tcPr>
          <w:p>
            <w:pPr>
              <w:pStyle w:val="TableContents"/>
              <w:bidi w:val="0"/>
              <w:spacing w:before="0" w:after="283"/>
              <w:jc w:val="left"/>
              <w:rPr>
                <w:sz w:val="4"/>
                <w:szCs w:val="4"/>
              </w:rPr>
            </w:pPr>
            <w:r>
              <w:rPr>
                <w:sz w:val="4"/>
                <w:szCs w:val="4"/>
              </w:rPr>
            </w:r>
          </w:p>
        </w:tc>
        <w:tc>
          <w:tcPr>
            <w:tcW w:w="8530"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r>
      <w:tr>
        <w:trPr/>
        <w:tc>
          <w:tcPr>
            <w:tcW w:w="797" w:type="dxa"/>
            <w:gridSpan w:val="3"/>
            <w:tcBorders/>
            <w:vAlign w:val="center"/>
          </w:tcPr>
          <w:p>
            <w:pPr>
              <w:pStyle w:val="TableContents"/>
              <w:bidi w:val="0"/>
              <w:spacing w:before="0" w:after="283"/>
              <w:jc w:val="left"/>
              <w:rPr>
                <w:sz w:val="4"/>
                <w:szCs w:val="4"/>
              </w:rPr>
            </w:pPr>
            <w:r>
              <w:rPr>
                <w:sz w:val="4"/>
                <w:szCs w:val="4"/>
              </w:rPr>
            </w:r>
          </w:p>
        </w:tc>
        <w:tc>
          <w:tcPr>
            <w:tcW w:w="8530"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r>
      <w:tr>
        <w:trPr/>
        <w:tc>
          <w:tcPr>
            <w:tcW w:w="797" w:type="dxa"/>
            <w:gridSpan w:val="3"/>
            <w:tcBorders/>
            <w:vAlign w:val="center"/>
          </w:tcPr>
          <w:p>
            <w:pPr>
              <w:pStyle w:val="TableContents"/>
              <w:bidi w:val="0"/>
              <w:spacing w:before="0" w:after="283"/>
              <w:jc w:val="left"/>
              <w:rPr>
                <w:sz w:val="4"/>
                <w:szCs w:val="4"/>
              </w:rPr>
            </w:pPr>
            <w:r>
              <w:rPr>
                <w:sz w:val="4"/>
                <w:szCs w:val="4"/>
              </w:rPr>
            </w:r>
          </w:p>
        </w:tc>
        <w:tc>
          <w:tcPr>
            <w:tcW w:w="8530"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r>
      <w:tr>
        <w:trPr/>
        <w:tc>
          <w:tcPr>
            <w:tcW w:w="797" w:type="dxa"/>
            <w:gridSpan w:val="3"/>
            <w:tcBorders/>
            <w:vAlign w:val="center"/>
          </w:tcPr>
          <w:p>
            <w:pPr>
              <w:pStyle w:val="TableContents"/>
              <w:bidi w:val="0"/>
              <w:spacing w:before="0" w:after="283"/>
              <w:jc w:val="left"/>
              <w:rPr>
                <w:sz w:val="4"/>
                <w:szCs w:val="4"/>
              </w:rPr>
            </w:pPr>
            <w:r>
              <w:rPr>
                <w:sz w:val="4"/>
                <w:szCs w:val="4"/>
              </w:rPr>
            </w:r>
          </w:p>
        </w:tc>
        <w:tc>
          <w:tcPr>
            <w:tcW w:w="8530"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r>
      <w:tr>
        <w:trPr/>
        <w:tc>
          <w:tcPr>
            <w:tcW w:w="797" w:type="dxa"/>
            <w:gridSpan w:val="3"/>
            <w:tcBorders/>
            <w:vAlign w:val="center"/>
          </w:tcPr>
          <w:p>
            <w:pPr>
              <w:pStyle w:val="TableContents"/>
              <w:bidi w:val="0"/>
              <w:spacing w:before="0" w:after="283"/>
              <w:jc w:val="left"/>
              <w:rPr>
                <w:sz w:val="4"/>
                <w:szCs w:val="4"/>
              </w:rPr>
            </w:pPr>
            <w:r>
              <w:rPr>
                <w:sz w:val="4"/>
                <w:szCs w:val="4"/>
              </w:rPr>
            </w:r>
          </w:p>
        </w:tc>
        <w:tc>
          <w:tcPr>
            <w:tcW w:w="8530"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r>
      <w:tr>
        <w:trPr/>
        <w:tc>
          <w:tcPr>
            <w:tcW w:w="797" w:type="dxa"/>
            <w:gridSpan w:val="3"/>
            <w:tcBorders/>
            <w:vAlign w:val="center"/>
          </w:tcPr>
          <w:p>
            <w:pPr>
              <w:pStyle w:val="TableContents"/>
              <w:bidi w:val="0"/>
              <w:spacing w:before="0" w:after="283"/>
              <w:jc w:val="left"/>
              <w:rPr>
                <w:sz w:val="4"/>
                <w:szCs w:val="4"/>
              </w:rPr>
            </w:pPr>
            <w:r>
              <w:rPr>
                <w:sz w:val="4"/>
                <w:szCs w:val="4"/>
              </w:rPr>
            </w:r>
          </w:p>
        </w:tc>
        <w:tc>
          <w:tcPr>
            <w:tcW w:w="8530"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r>
      <w:tr>
        <w:trPr/>
        <w:tc>
          <w:tcPr>
            <w:tcW w:w="797" w:type="dxa"/>
            <w:gridSpan w:val="3"/>
            <w:tcBorders/>
            <w:vAlign w:val="center"/>
          </w:tcPr>
          <w:p>
            <w:pPr>
              <w:pStyle w:val="TableContents"/>
              <w:bidi w:val="0"/>
              <w:spacing w:before="0" w:after="283"/>
              <w:jc w:val="left"/>
              <w:rPr>
                <w:sz w:val="4"/>
                <w:szCs w:val="4"/>
              </w:rPr>
            </w:pPr>
            <w:r>
              <w:rPr>
                <w:sz w:val="4"/>
                <w:szCs w:val="4"/>
              </w:rPr>
            </w:r>
          </w:p>
        </w:tc>
        <w:tc>
          <w:tcPr>
            <w:tcW w:w="8530"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r>
      <w:tr>
        <w:trPr/>
        <w:tc>
          <w:tcPr>
            <w:tcW w:w="797" w:type="dxa"/>
            <w:gridSpan w:val="3"/>
            <w:tcBorders/>
            <w:vAlign w:val="center"/>
          </w:tcPr>
          <w:p>
            <w:pPr>
              <w:pStyle w:val="TableContents"/>
              <w:bidi w:val="0"/>
              <w:spacing w:before="0" w:after="283"/>
              <w:jc w:val="left"/>
              <w:rPr>
                <w:sz w:val="4"/>
                <w:szCs w:val="4"/>
              </w:rPr>
            </w:pPr>
            <w:r>
              <w:rPr>
                <w:sz w:val="4"/>
                <w:szCs w:val="4"/>
              </w:rPr>
            </w:r>
          </w:p>
        </w:tc>
        <w:tc>
          <w:tcPr>
            <w:tcW w:w="8530"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r>
      <w:tr>
        <w:trPr/>
        <w:tc>
          <w:tcPr>
            <w:tcW w:w="797" w:type="dxa"/>
            <w:gridSpan w:val="3"/>
            <w:tcBorders/>
            <w:vAlign w:val="center"/>
          </w:tcPr>
          <w:p>
            <w:pPr>
              <w:pStyle w:val="TableContents"/>
              <w:bidi w:val="0"/>
              <w:spacing w:before="0" w:after="283"/>
              <w:jc w:val="left"/>
              <w:rPr>
                <w:sz w:val="4"/>
                <w:szCs w:val="4"/>
              </w:rPr>
            </w:pPr>
            <w:r>
              <w:rPr>
                <w:sz w:val="4"/>
                <w:szCs w:val="4"/>
              </w:rPr>
            </w:r>
          </w:p>
        </w:tc>
        <w:tc>
          <w:tcPr>
            <w:tcW w:w="8530"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r>
      <w:tr>
        <w:trPr/>
        <w:tc>
          <w:tcPr>
            <w:tcW w:w="797" w:type="dxa"/>
            <w:gridSpan w:val="3"/>
            <w:tcBorders/>
            <w:vAlign w:val="center"/>
          </w:tcPr>
          <w:p>
            <w:pPr>
              <w:pStyle w:val="TableContents"/>
              <w:bidi w:val="0"/>
              <w:spacing w:before="0" w:after="283"/>
              <w:jc w:val="left"/>
              <w:rPr>
                <w:sz w:val="4"/>
                <w:szCs w:val="4"/>
              </w:rPr>
            </w:pPr>
            <w:r>
              <w:rPr>
                <w:sz w:val="4"/>
                <w:szCs w:val="4"/>
              </w:rPr>
            </w:r>
          </w:p>
        </w:tc>
        <w:tc>
          <w:tcPr>
            <w:tcW w:w="8530"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r>
      <w:tr>
        <w:trPr/>
        <w:tc>
          <w:tcPr>
            <w:tcW w:w="797" w:type="dxa"/>
            <w:gridSpan w:val="3"/>
            <w:tcBorders/>
            <w:vAlign w:val="center"/>
          </w:tcPr>
          <w:p>
            <w:pPr>
              <w:pStyle w:val="TableContents"/>
              <w:bidi w:val="0"/>
              <w:spacing w:before="0" w:after="283"/>
              <w:jc w:val="left"/>
              <w:rPr>
                <w:sz w:val="4"/>
                <w:szCs w:val="4"/>
              </w:rPr>
            </w:pPr>
            <w:r>
              <w:rPr>
                <w:sz w:val="4"/>
                <w:szCs w:val="4"/>
              </w:rPr>
            </w:r>
          </w:p>
        </w:tc>
        <w:tc>
          <w:tcPr>
            <w:tcW w:w="8530"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r>
      <w:tr>
        <w:trPr/>
        <w:tc>
          <w:tcPr>
            <w:tcW w:w="797" w:type="dxa"/>
            <w:gridSpan w:val="3"/>
            <w:tcBorders/>
            <w:vAlign w:val="center"/>
          </w:tcPr>
          <w:p>
            <w:pPr>
              <w:pStyle w:val="TableContents"/>
              <w:bidi w:val="0"/>
              <w:spacing w:before="0" w:after="283"/>
              <w:jc w:val="left"/>
              <w:rPr>
                <w:sz w:val="4"/>
                <w:szCs w:val="4"/>
              </w:rPr>
            </w:pPr>
            <w:r>
              <w:rPr>
                <w:sz w:val="4"/>
                <w:szCs w:val="4"/>
              </w:rPr>
            </w:r>
          </w:p>
        </w:tc>
        <w:tc>
          <w:tcPr>
            <w:tcW w:w="8530"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r>
      <w:tr>
        <w:trPr/>
        <w:tc>
          <w:tcPr>
            <w:tcW w:w="797" w:type="dxa"/>
            <w:gridSpan w:val="3"/>
            <w:tcBorders/>
            <w:vAlign w:val="center"/>
          </w:tcPr>
          <w:p>
            <w:pPr>
              <w:pStyle w:val="TableContents"/>
              <w:bidi w:val="0"/>
              <w:spacing w:before="0" w:after="283"/>
              <w:jc w:val="left"/>
              <w:rPr>
                <w:sz w:val="4"/>
                <w:szCs w:val="4"/>
              </w:rPr>
            </w:pPr>
            <w:r>
              <w:rPr>
                <w:sz w:val="4"/>
                <w:szCs w:val="4"/>
              </w:rPr>
            </w:r>
          </w:p>
        </w:tc>
        <w:tc>
          <w:tcPr>
            <w:tcW w:w="8530"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r>
      <w:tr>
        <w:trPr/>
        <w:tc>
          <w:tcPr>
            <w:tcW w:w="7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13d1b6f3764394b0e424082d2ac79f_394">
              <w:r>
                <w:rPr>
                  <w:rStyle w:val="InternetLink"/>
                  <w:rFonts w:ascii="Times New Roman;serif" w:hAnsi="Times New Roman;serif"/>
                  <w:b w:val="false"/>
                  <w:color w:val="0000FF"/>
                  <w:sz w:val="20"/>
                  <w:u w:val="single"/>
                </w:rPr>
                <w:t>Item 9.</w:t>
              </w:r>
            </w:hyperlink>
          </w:p>
        </w:tc>
        <w:tc>
          <w:tcPr>
            <w:tcW w:w="85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13d1b6f3764394b0e424082d2ac79f_394">
              <w:r>
                <w:rPr>
                  <w:rStyle w:val="InternetLink"/>
                  <w:rFonts w:ascii="Times New Roman;serif" w:hAnsi="Times New Roman;serif"/>
                  <w:b w:val="false"/>
                  <w:color w:val="0000FF"/>
                  <w:sz w:val="20"/>
                  <w:u w:val="single"/>
                </w:rPr>
                <w:t>Changes in and Disagreements with Accountants on Accounting and Financial Disclosure</w:t>
              </w:r>
            </w:hyperlink>
          </w:p>
        </w:tc>
        <w:tc>
          <w:tcPr>
            <w:tcW w:w="87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e13d1b6f3764394b0e424082d2ac79f_394">
              <w:r>
                <w:rPr>
                  <w:rStyle w:val="InternetLink"/>
                  <w:rFonts w:ascii="Times New Roman;serif" w:hAnsi="Times New Roman;serif"/>
                  <w:b w:val="false"/>
                  <w:color w:val="0000FF"/>
                  <w:sz w:val="20"/>
                  <w:u w:val="single"/>
                </w:rPr>
                <w:t>181</w:t>
              </w:r>
            </w:hyperlink>
          </w:p>
        </w:tc>
      </w:tr>
      <w:tr>
        <w:trPr/>
        <w:tc>
          <w:tcPr>
            <w:tcW w:w="7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13d1b6f3764394b0e424082d2ac79f_397">
              <w:r>
                <w:rPr>
                  <w:rStyle w:val="InternetLink"/>
                  <w:rFonts w:ascii="Times New Roman;serif" w:hAnsi="Times New Roman;serif"/>
                  <w:b w:val="false"/>
                  <w:color w:val="0000FF"/>
                  <w:sz w:val="20"/>
                  <w:u w:val="single"/>
                </w:rPr>
                <w:t>Item 9A.</w:t>
              </w:r>
            </w:hyperlink>
          </w:p>
        </w:tc>
        <w:tc>
          <w:tcPr>
            <w:tcW w:w="85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13d1b6f3764394b0e424082d2ac79f_397">
              <w:r>
                <w:rPr>
                  <w:rStyle w:val="InternetLink"/>
                  <w:rFonts w:ascii="Times New Roman;serif" w:hAnsi="Times New Roman;serif"/>
                  <w:b w:val="false"/>
                  <w:color w:val="0000FF"/>
                  <w:sz w:val="20"/>
                  <w:u w:val="single"/>
                </w:rPr>
                <w:t>Controls and Procedures</w:t>
              </w:r>
            </w:hyperlink>
          </w:p>
        </w:tc>
        <w:tc>
          <w:tcPr>
            <w:tcW w:w="87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e13d1b6f3764394b0e424082d2ac79f_397">
              <w:r>
                <w:rPr>
                  <w:rStyle w:val="InternetLink"/>
                  <w:rFonts w:ascii="Times New Roman;serif" w:hAnsi="Times New Roman;serif"/>
                  <w:b w:val="false"/>
                  <w:color w:val="0000FF"/>
                  <w:sz w:val="20"/>
                  <w:u w:val="single"/>
                </w:rPr>
                <w:t>181</w:t>
              </w:r>
            </w:hyperlink>
          </w:p>
        </w:tc>
      </w:tr>
      <w:tr>
        <w:trPr/>
        <w:tc>
          <w:tcPr>
            <w:tcW w:w="7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13d1b6f3764394b0e424082d2ac79f_400">
              <w:r>
                <w:rPr>
                  <w:rStyle w:val="InternetLink"/>
                  <w:rFonts w:ascii="Times New Roman;serif" w:hAnsi="Times New Roman;serif"/>
                  <w:b w:val="false"/>
                  <w:color w:val="0000FF"/>
                  <w:sz w:val="20"/>
                  <w:u w:val="single"/>
                </w:rPr>
                <w:t>Item 9B.</w:t>
              </w:r>
            </w:hyperlink>
          </w:p>
        </w:tc>
        <w:tc>
          <w:tcPr>
            <w:tcW w:w="85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13d1b6f3764394b0e424082d2ac79f_400">
              <w:r>
                <w:rPr>
                  <w:rStyle w:val="InternetLink"/>
                  <w:rFonts w:ascii="Times New Roman;serif" w:hAnsi="Times New Roman;serif"/>
                  <w:b w:val="false"/>
                  <w:color w:val="0000FF"/>
                  <w:sz w:val="20"/>
                  <w:u w:val="single"/>
                </w:rPr>
                <w:t>Other Information</w:t>
              </w:r>
            </w:hyperlink>
          </w:p>
        </w:tc>
        <w:tc>
          <w:tcPr>
            <w:tcW w:w="87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e13d1b6f3764394b0e424082d2ac79f_400">
              <w:r>
                <w:rPr>
                  <w:rStyle w:val="InternetLink"/>
                  <w:rFonts w:ascii="Times New Roman;serif" w:hAnsi="Times New Roman;serif"/>
                  <w:b w:val="false"/>
                  <w:color w:val="0000FF"/>
                  <w:sz w:val="20"/>
                  <w:u w:val="single"/>
                </w:rPr>
                <w:t>182</w:t>
              </w:r>
            </w:hyperlink>
          </w:p>
        </w:tc>
      </w:tr>
      <w:tr>
        <w:trPr/>
        <w:tc>
          <w:tcPr>
            <w:tcW w:w="7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13d1b6f3764394b0e424082d2ac79f_409">
              <w:r>
                <w:rPr>
                  <w:rStyle w:val="InternetLink"/>
                  <w:rFonts w:ascii="Times New Roman;serif" w:hAnsi="Times New Roman;serif"/>
                  <w:b w:val="false"/>
                  <w:color w:val="0000FF"/>
                  <w:sz w:val="20"/>
                  <w:u w:val="single"/>
                </w:rPr>
                <w:t>Item 9C.</w:t>
              </w:r>
            </w:hyperlink>
          </w:p>
        </w:tc>
        <w:tc>
          <w:tcPr>
            <w:tcW w:w="85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13d1b6f3764394b0e424082d2ac79f_409">
              <w:r>
                <w:rPr>
                  <w:rStyle w:val="InternetLink"/>
                  <w:rFonts w:ascii="Times New Roman;serif" w:hAnsi="Times New Roman;serif"/>
                  <w:b w:val="false"/>
                  <w:color w:val="0000FF"/>
                  <w:sz w:val="20"/>
                  <w:u w:val="single"/>
                </w:rPr>
                <w:t>Disclosure Regarding Foreign Jurisdictions that Prevent Inspections</w:t>
              </w:r>
            </w:hyperlink>
          </w:p>
        </w:tc>
        <w:tc>
          <w:tcPr>
            <w:tcW w:w="87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e13d1b6f3764394b0e424082d2ac79f_409">
              <w:r>
                <w:rPr>
                  <w:rStyle w:val="InternetLink"/>
                  <w:rFonts w:ascii="Times New Roman;serif" w:hAnsi="Times New Roman;serif"/>
                  <w:b w:val="false"/>
                  <w:color w:val="0000FF"/>
                  <w:sz w:val="20"/>
                  <w:u w:val="single"/>
                </w:rPr>
                <w:t>182</w:t>
              </w:r>
            </w:hyperlink>
          </w:p>
        </w:tc>
      </w:tr>
      <w:tr>
        <w:trPr/>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27"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8e13d1b6f3764394b0e424082d2ac79f_412">
              <w:r>
                <w:rPr>
                  <w:rStyle w:val="InternetLink"/>
                  <w:rFonts w:ascii="Times New Roman;serif" w:hAnsi="Times New Roman;serif"/>
                  <w:b/>
                  <w:color w:val="0000FF"/>
                  <w:sz w:val="20"/>
                  <w:u w:val="single"/>
                </w:rPr>
                <w:t>Part III</w:t>
              </w:r>
            </w:hyperlink>
          </w:p>
        </w:tc>
        <w:tc>
          <w:tcPr>
            <w:tcW w:w="8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13d1b6f3764394b0e424082d2ac79f_415">
              <w:r>
                <w:rPr>
                  <w:rStyle w:val="InternetLink"/>
                  <w:rFonts w:ascii="Times New Roman;serif" w:hAnsi="Times New Roman;serif"/>
                  <w:b w:val="false"/>
                  <w:color w:val="0000FF"/>
                  <w:sz w:val="20"/>
                  <w:u w:val="single"/>
                </w:rPr>
                <w:t>Item 10.</w:t>
              </w:r>
            </w:hyperlink>
          </w:p>
        </w:tc>
        <w:tc>
          <w:tcPr>
            <w:tcW w:w="85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13d1b6f3764394b0e424082d2ac79f_415">
              <w:r>
                <w:rPr>
                  <w:rStyle w:val="InternetLink"/>
                  <w:rFonts w:ascii="Times New Roman;serif" w:hAnsi="Times New Roman;serif"/>
                  <w:b w:val="false"/>
                  <w:color w:val="0000FF"/>
                  <w:sz w:val="20"/>
                  <w:u w:val="single"/>
                </w:rPr>
                <w:t>Directors, Executive Officers, and Corporate Governance</w:t>
              </w:r>
            </w:hyperlink>
          </w:p>
        </w:tc>
        <w:tc>
          <w:tcPr>
            <w:tcW w:w="87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e13d1b6f3764394b0e424082d2ac79f_415">
              <w:r>
                <w:rPr>
                  <w:rStyle w:val="InternetLink"/>
                  <w:rFonts w:ascii="Times New Roman;serif" w:hAnsi="Times New Roman;serif"/>
                  <w:b w:val="false"/>
                  <w:color w:val="0000FF"/>
                  <w:sz w:val="20"/>
                  <w:u w:val="single"/>
                </w:rPr>
                <w:t>183</w:t>
              </w:r>
            </w:hyperlink>
          </w:p>
        </w:tc>
      </w:tr>
      <w:tr>
        <w:trPr/>
        <w:tc>
          <w:tcPr>
            <w:tcW w:w="7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13d1b6f3764394b0e424082d2ac79f_418">
              <w:r>
                <w:rPr>
                  <w:rStyle w:val="InternetLink"/>
                  <w:rFonts w:ascii="Times New Roman;serif" w:hAnsi="Times New Roman;serif"/>
                  <w:b w:val="false"/>
                  <w:color w:val="0000FF"/>
                  <w:sz w:val="20"/>
                  <w:u w:val="single"/>
                </w:rPr>
                <w:t>Item 11.</w:t>
              </w:r>
            </w:hyperlink>
          </w:p>
        </w:tc>
        <w:tc>
          <w:tcPr>
            <w:tcW w:w="85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13d1b6f3764394b0e424082d2ac79f_418">
              <w:r>
                <w:rPr>
                  <w:rStyle w:val="InternetLink"/>
                  <w:rFonts w:ascii="Times New Roman;serif" w:hAnsi="Times New Roman;serif"/>
                  <w:b w:val="false"/>
                  <w:color w:val="0000FF"/>
                  <w:sz w:val="20"/>
                  <w:u w:val="single"/>
                </w:rPr>
                <w:t>Executive Compensation</w:t>
              </w:r>
            </w:hyperlink>
          </w:p>
        </w:tc>
        <w:tc>
          <w:tcPr>
            <w:tcW w:w="87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e13d1b6f3764394b0e424082d2ac79f_418">
              <w:r>
                <w:rPr>
                  <w:rStyle w:val="InternetLink"/>
                  <w:rFonts w:ascii="Times New Roman;serif" w:hAnsi="Times New Roman;serif"/>
                  <w:b w:val="false"/>
                  <w:color w:val="0000FF"/>
                  <w:sz w:val="20"/>
                  <w:u w:val="single"/>
                </w:rPr>
                <w:t>185</w:t>
              </w:r>
            </w:hyperlink>
          </w:p>
        </w:tc>
      </w:tr>
      <w:tr>
        <w:trPr/>
        <w:tc>
          <w:tcPr>
            <w:tcW w:w="7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13d1b6f3764394b0e424082d2ac79f_421">
              <w:r>
                <w:rPr>
                  <w:rStyle w:val="InternetLink"/>
                  <w:rFonts w:ascii="Times New Roman;serif" w:hAnsi="Times New Roman;serif"/>
                  <w:b w:val="false"/>
                  <w:color w:val="0000FF"/>
                  <w:sz w:val="20"/>
                  <w:u w:val="single"/>
                </w:rPr>
                <w:t xml:space="preserve">Item 12. </w:t>
              </w:r>
            </w:hyperlink>
          </w:p>
        </w:tc>
        <w:tc>
          <w:tcPr>
            <w:tcW w:w="85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13d1b6f3764394b0e424082d2ac79f_421">
              <w:r>
                <w:rPr>
                  <w:rStyle w:val="InternetLink"/>
                  <w:rFonts w:ascii="Times New Roman;serif" w:hAnsi="Times New Roman;serif"/>
                  <w:b w:val="false"/>
                  <w:color w:val="0000FF"/>
                  <w:sz w:val="20"/>
                  <w:u w:val="single"/>
                </w:rPr>
                <w:t>Security Ownership of Certain Beneficial Owners and Management and Related Stockholder Matters</w:t>
              </w:r>
            </w:hyperlink>
          </w:p>
        </w:tc>
        <w:tc>
          <w:tcPr>
            <w:tcW w:w="87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e13d1b6f3764394b0e424082d2ac79f_421">
              <w:r>
                <w:rPr>
                  <w:rStyle w:val="InternetLink"/>
                  <w:rFonts w:ascii="Times New Roman;serif" w:hAnsi="Times New Roman;serif"/>
                  <w:b w:val="false"/>
                  <w:color w:val="0000FF"/>
                  <w:sz w:val="20"/>
                  <w:u w:val="single"/>
                </w:rPr>
                <w:t>185</w:t>
              </w:r>
            </w:hyperlink>
          </w:p>
        </w:tc>
      </w:tr>
      <w:tr>
        <w:trPr/>
        <w:tc>
          <w:tcPr>
            <w:tcW w:w="7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13d1b6f3764394b0e424082d2ac79f_424">
              <w:r>
                <w:rPr>
                  <w:rStyle w:val="InternetLink"/>
                  <w:rFonts w:ascii="Times New Roman;serif" w:hAnsi="Times New Roman;serif"/>
                  <w:b w:val="false"/>
                  <w:color w:val="0000FF"/>
                  <w:sz w:val="20"/>
                  <w:u w:val="single"/>
                </w:rPr>
                <w:t>Item 13.</w:t>
              </w:r>
            </w:hyperlink>
          </w:p>
        </w:tc>
        <w:tc>
          <w:tcPr>
            <w:tcW w:w="85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13d1b6f3764394b0e424082d2ac79f_424">
              <w:r>
                <w:rPr>
                  <w:rStyle w:val="InternetLink"/>
                  <w:rFonts w:ascii="Times New Roman;serif" w:hAnsi="Times New Roman;serif"/>
                  <w:b w:val="false"/>
                  <w:color w:val="0000FF"/>
                  <w:sz w:val="20"/>
                  <w:u w:val="single"/>
                </w:rPr>
                <w:t>Certain Relationships and Related Transactions, and Director Independence</w:t>
              </w:r>
            </w:hyperlink>
          </w:p>
        </w:tc>
        <w:tc>
          <w:tcPr>
            <w:tcW w:w="87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e13d1b6f3764394b0e424082d2ac79f_424">
              <w:r>
                <w:rPr>
                  <w:rStyle w:val="InternetLink"/>
                  <w:rFonts w:ascii="Times New Roman;serif" w:hAnsi="Times New Roman;serif"/>
                  <w:b w:val="false"/>
                  <w:color w:val="0000FF"/>
                  <w:sz w:val="20"/>
                  <w:u w:val="single"/>
                </w:rPr>
                <w:t>185</w:t>
              </w:r>
            </w:hyperlink>
          </w:p>
        </w:tc>
      </w:tr>
      <w:tr>
        <w:trPr/>
        <w:tc>
          <w:tcPr>
            <w:tcW w:w="7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13d1b6f3764394b0e424082d2ac79f_427">
              <w:r>
                <w:rPr>
                  <w:rStyle w:val="InternetLink"/>
                  <w:rFonts w:ascii="Times New Roman;serif" w:hAnsi="Times New Roman;serif"/>
                  <w:b w:val="false"/>
                  <w:color w:val="0000FF"/>
                  <w:sz w:val="20"/>
                  <w:u w:val="single"/>
                </w:rPr>
                <w:t>Item 14.</w:t>
              </w:r>
            </w:hyperlink>
          </w:p>
        </w:tc>
        <w:tc>
          <w:tcPr>
            <w:tcW w:w="85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13d1b6f3764394b0e424082d2ac79f_427">
              <w:r>
                <w:rPr>
                  <w:rStyle w:val="InternetLink"/>
                  <w:rFonts w:ascii="Times New Roman;serif" w:hAnsi="Times New Roman;serif"/>
                  <w:b w:val="false"/>
                  <w:color w:val="0000FF"/>
                  <w:sz w:val="20"/>
                  <w:u w:val="single"/>
                </w:rPr>
                <w:t>Principal Accountant Fees and Services</w:t>
              </w:r>
            </w:hyperlink>
          </w:p>
        </w:tc>
        <w:tc>
          <w:tcPr>
            <w:tcW w:w="87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e13d1b6f3764394b0e424082d2ac79f_427">
              <w:r>
                <w:rPr>
                  <w:rStyle w:val="InternetLink"/>
                  <w:rFonts w:ascii="Times New Roman;serif" w:hAnsi="Times New Roman;serif"/>
                  <w:b w:val="false"/>
                  <w:color w:val="0000FF"/>
                  <w:sz w:val="20"/>
                  <w:u w:val="single"/>
                </w:rPr>
                <w:t>185</w:t>
              </w:r>
            </w:hyperlink>
          </w:p>
        </w:tc>
      </w:tr>
      <w:tr>
        <w:trPr/>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27"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8e13d1b6f3764394b0e424082d2ac79f_430">
              <w:r>
                <w:rPr>
                  <w:rStyle w:val="InternetLink"/>
                  <w:rFonts w:ascii="Times New Roman;serif" w:hAnsi="Times New Roman;serif"/>
                  <w:b/>
                  <w:color w:val="0000FF"/>
                  <w:sz w:val="20"/>
                  <w:u w:val="single"/>
                </w:rPr>
                <w:t>Part IV</w:t>
              </w:r>
            </w:hyperlink>
          </w:p>
        </w:tc>
        <w:tc>
          <w:tcPr>
            <w:tcW w:w="8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13d1b6f3764394b0e424082d2ac79f_433">
              <w:r>
                <w:rPr>
                  <w:rStyle w:val="InternetLink"/>
                  <w:rFonts w:ascii="Times New Roman;serif" w:hAnsi="Times New Roman;serif"/>
                  <w:b w:val="false"/>
                  <w:color w:val="0000FF"/>
                  <w:sz w:val="20"/>
                  <w:u w:val="single"/>
                </w:rPr>
                <w:t>Item 15.</w:t>
              </w:r>
            </w:hyperlink>
          </w:p>
        </w:tc>
        <w:tc>
          <w:tcPr>
            <w:tcW w:w="85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13d1b6f3764394b0e424082d2ac79f_433">
              <w:r>
                <w:rPr>
                  <w:rStyle w:val="InternetLink"/>
                  <w:rFonts w:ascii="Times New Roman;serif" w:hAnsi="Times New Roman;serif"/>
                  <w:b w:val="false"/>
                  <w:color w:val="0000FF"/>
                  <w:sz w:val="20"/>
                  <w:u w:val="single"/>
                </w:rPr>
                <w:t>Exhibits and Financial Statement Schedules</w:t>
              </w:r>
            </w:hyperlink>
          </w:p>
        </w:tc>
        <w:tc>
          <w:tcPr>
            <w:tcW w:w="87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e13d1b6f3764394b0e424082d2ac79f_433">
              <w:r>
                <w:rPr>
                  <w:rStyle w:val="InternetLink"/>
                  <w:rFonts w:ascii="Times New Roman;serif" w:hAnsi="Times New Roman;serif"/>
                  <w:b w:val="false"/>
                  <w:color w:val="0000FF"/>
                  <w:sz w:val="20"/>
                  <w:u w:val="single"/>
                </w:rPr>
                <w:t>186</w:t>
              </w:r>
            </w:hyperlink>
          </w:p>
        </w:tc>
      </w:tr>
      <w:tr>
        <w:trPr/>
        <w:tc>
          <w:tcPr>
            <w:tcW w:w="7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13d1b6f3764394b0e424082d2ac79f_436">
              <w:r>
                <w:rPr>
                  <w:rStyle w:val="InternetLink"/>
                  <w:rFonts w:ascii="Times New Roman;serif" w:hAnsi="Times New Roman;serif"/>
                  <w:b w:val="false"/>
                  <w:color w:val="0000FF"/>
                  <w:sz w:val="20"/>
                  <w:u w:val="single"/>
                </w:rPr>
                <w:t>Item 16.</w:t>
              </w:r>
            </w:hyperlink>
          </w:p>
        </w:tc>
        <w:tc>
          <w:tcPr>
            <w:tcW w:w="85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13d1b6f3764394b0e424082d2ac79f_436">
              <w:r>
                <w:rPr>
                  <w:rStyle w:val="InternetLink"/>
                  <w:rFonts w:ascii="Times New Roman;serif" w:hAnsi="Times New Roman;serif"/>
                  <w:b w:val="false"/>
                  <w:color w:val="0000FF"/>
                  <w:sz w:val="20"/>
                  <w:u w:val="single"/>
                </w:rPr>
                <w:t>Form 10-K Summary</w:t>
              </w:r>
            </w:hyperlink>
          </w:p>
        </w:tc>
        <w:tc>
          <w:tcPr>
            <w:tcW w:w="87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e13d1b6f3764394b0e424082d2ac79f_436">
              <w:r>
                <w:rPr>
                  <w:rStyle w:val="InternetLink"/>
                  <w:rFonts w:ascii="Times New Roman;serif" w:hAnsi="Times New Roman;serif"/>
                  <w:b w:val="false"/>
                  <w:color w:val="0000FF"/>
                  <w:sz w:val="20"/>
                  <w:u w:val="single"/>
                </w:rPr>
                <w:t>188</w:t>
              </w:r>
            </w:hyperlink>
          </w:p>
        </w:tc>
      </w:tr>
      <w:tr>
        <w:trPr/>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13d1b6f3764394b0e424082d2ac79f_439">
              <w:r>
                <w:rPr>
                  <w:rStyle w:val="InternetLink"/>
                  <w:rFonts w:ascii="Times New Roman;serif" w:hAnsi="Times New Roman;serif"/>
                  <w:b w:val="false"/>
                  <w:color w:val="0000FF"/>
                  <w:sz w:val="20"/>
                  <w:u w:val="single"/>
                </w:rPr>
                <w:t>Signatures</w:t>
              </w:r>
            </w:hyperlink>
          </w:p>
        </w:tc>
        <w:tc>
          <w:tcPr>
            <w:tcW w:w="87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e13d1b6f3764394b0e424082d2ac79f_439">
              <w:r>
                <w:rPr>
                  <w:rStyle w:val="InternetLink"/>
                  <w:rFonts w:ascii="Times New Roman;serif" w:hAnsi="Times New Roman;serif"/>
                  <w:b w:val="false"/>
                  <w:color w:val="0000FF"/>
                  <w:sz w:val="20"/>
                  <w:u w:val="single"/>
                </w:rPr>
                <w:t>189</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both"/>
                        <w:rPr/>
                      </w:pPr>
                      <w:r>
                        <w:rPr/>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SPECIAL NOTE REGARDING FORWARD-LOOKING STATEMENTS</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This Annual Report on Form 10-K (the “Annual Report”) contains forward-looking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 contained in this Annual Report, including without limitation, statements regarding our future financial performance, including our expectations regarding our revenue, expenses, ability to determine reserves, and ability to remain profitable; our ability to maintain, expand, and enter into new relationships with partners and loan purchasers on the secondary market; our ability to broaden our network of partners; our ability to develop and achieve market acceptance of new products and services, including OPEN and our Blockchain Common Stock; anticipated trends, growth rates, and challenges in our business; and the cryptoeconomy, the price, and market capitalization of digital assets; the development and adoption of blockchain technology; our expectations regarding the trading market, liquidity, and trading price of our Class A common stock and Blockchain Common Stock; our ability to maintain effective internal control over financial reporting; our expectations regarding the regulatory environment applicable to our lending and digital asset activities; and our ability to maintain required licenses and regulatory approvals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some cases, you can identify forward-looking statements by terms such as “may,” “will,” “should,” “expect,” “plan,” “anticipate,” “could,” “intend,” “target,” “project,” “contemplate,” “believe,” “estimate,” “predict,” “potential,” or “continue” or the negative of these terms or other similar expressions. The forward-looking statements in this Annual Report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Annual Report and are subject to a number of important factors that could cause actual results to differ materially from those in the forward-looking statements, including the factors described under the sections in this Annual Report titled “Risk Factors” and “Management's Discussion and Analysis of Financial Condition and Results of Operations.”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You should read this Annual Report and the documents that we reference in this Annual Report completely and with the understanding that our actual future results may be materially different from what we expect. We qualify all of our forward-looking statements by these cautionary statements. Except as required by applicable law, we do not plan to publicly update or revise any forward-looking statements contained herein, whether as a result of any new information, future events, changed circumstances or otherwise.</w:t>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SUMMARY RISK FACTORS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business is subject to numerous risks and uncertainties, including those described in Part I Item 1A. “Risk Factors” in this Annual Report. You should carefully consider these risks and uncertainties, together with all of the other information contained in this Annual Report, when investing in our Class A common stock or Blockchain Stock. The principal risks and uncertainties affecting our business include the following:</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We have a history of losses, we may not be able to maintain profitability in the future, and there is no assurance that our revenue and business model will be successful.</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If we fail to effectively manage our growth, our business, financial condition, and results of operations could be adversely affected.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Substantially all of our revenue is derived from our HELOC product, and we are thus particularly susceptible to fluctuations in the HELOC market. Our current product offerings may also not be sufficiently broad to attract and retain partners.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success and ability to develop our lending business depend on retaining and expanding our reach through both our Figure-branded and Partner-branded strategies. If we or our partners fail to add new customers, our business, financial condition, and results of operations could be adversely affected.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If loans originated by us or through our platform and purchased by us do not perform, or significantly underperform, we may incur financial losses on the loans we hold on our balance sheet, which could adversely affect our business, financial condition, and results of operations, as well as result in the loss of confidence of our funding sources.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Increases in borrower default rates on loans could make us and our loans less attractive to loan purchasers, lenders under warehouse credit facilities and investors in securitizations, which may adversely affect our access to financing and our business, financial condition, and results of operations.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HELOCs and other loans we make, such as digital assets-secured personal loans, are subject to federal, state and local laws that regulate various aspects of lending, including disclosures, interest rates and other charges, and if we exceed applicable limitations on interest, loan charges, and other fees or fail to provide required disclosures, our business, financial condition, and results of operations could be significantly adversely affected, including but not limited to, through litigation (including damages), investigation, enforcement and other regulatory and legal action and penalties.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If a court or regulator determines that our HELOCs cannot be characterized as a fixed-rate extension of “open-end credit” under the Truth in Lending Act (“TILA”) or state law, we would be subject to the more prescriptive closed-end mortgage laws and rules, as well as laws and rules applicable to variable-rate HELOCs, which would have a material adverse effect on our business, financial condition, and results of operations.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 particular digital asset, product or service’s status as a “security” in any relevant jurisdiction is subject to a high degree of uncertainty and if we are unable to properly characterize a digital asset or product offering, or if the regulatory framework with respect to digital assets changes, we may be subject to regulatory scrutiny, inquiries, investigations, fines, and other penalties, which may adversely affect our business, operating results, and financial condition.</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Depositing and withdrawing digital assets into and from Figure Exchange involve risks, which could result in loss of customer assets, customer disputes and other liabilities, and adversely impact our business, financial condition, and results of operations.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business is significantly impacted by interest rates. Changes in prevailing interest rates or U.S. monetary policies that affect interest rates could adversely affect our business, financial condition, and results of operations.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Technology disruptions or failures in, and cyberattacks or other breaches or incidents relating to, our operational, security or fraud-detection systems or infrastructure, or those of third parties with whom we do business, could disrupt our business, cause legal or reputational harm, and adversely affect our business,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business, financial condition, and results of operations could be adversely affected if we fail to adequately maintain, protect and enforce our intellectual property and proprietary rights or face allegations that our product offerings or conduct infringes on the intellectual property rights of third parties.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We are subject to or facilitate compliance with a variety of federal, state, and local laws, including those related to lending and mortgages, money transmission, consumer protection, financial services and loan financings.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marketing practices involving relationships with third parties may expose us to risks of alleged Real Estate Settlement Procedures Act (the “RESPA”) violations.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We hold state licenses that result in substantial costs, including licensing fees and compliance costs, and our business, financial condition, and results of operations would be adversely affected if our licenses were impaired as a result of noncompliance with those requirements.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Litigation, regulatory actions, and compliance issues could subject us to significant fines, penalties, judgments, remediation costs, negative publicity, changes to our business model, and requirements resulting in increased expenses.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compliance and risk management policies, procedures and techniques may not be sufficient to identify all of the financial, legal, regulatory, and other risks to which we are exposed, and failure to identify and address such risks could adversely affect our business, financial condition, and results of operations.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Changes in applicable laws and regulations, as well as changes in government enforcement policies and priorities, could materially increase our operating costs and negatively impact our ability to offer certain products or the terms and conditions upon which they are offered, and ability to compete, which could have a material adverse effect on our business, financial condition, and results of operations.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We have identified material weaknesses in our internal control over financial reporting. If we fail to remedy these material weaknesses, experience additional material weaknesses in the future or otherwise fail to continue to design, implement and maintain effective internal control over financial reporting, we may not be able to accurately report our financial condition or results of operations which may adversely affect investor confidence in us, and, as a result, the value of our Class A common stock.</w:t>
      </w:r>
    </w:p>
    <w:p>
      <w:pPr>
        <w:pStyle w:val="TextBody"/>
        <w:bidi w:val="0"/>
        <w:spacing w:lineRule="auto" w:line="268" w:before="0" w:after="180"/>
        <w:ind w:left="0" w:right="0" w:hanging="360"/>
        <w:jc w:val="left"/>
        <w:rPr/>
      </w:pPr>
      <w:r>
        <w:rPr>
          <w:color w:val="000000"/>
        </w:rPr>
        <w:t>•</w:t>
      </w:r>
      <w:r>
        <w:rPr>
          <w:rFonts w:ascii="Times New Roman;serif" w:hAnsi="Times New Roman;serif"/>
          <w:b w:val="false"/>
          <w:color w:val="000000"/>
          <w:sz w:val="20"/>
        </w:rPr>
        <w:t>The dual-class structure of our common stock concentrates voting control with Michael Cagney, our co-founder and member of our board of directors, which will limit your ability to affect the outcome of key transactions, including a change in control, and it may depress the trading price of our Class A common stock and Blockchain Stock.</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 active trading market for the Blockchain Stock does not exist and may not develop, and an active public trading market for our Class A common stock may not continue to develop or be sustained.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Distributed ledger technology is an emerging technology and has been subject to limited testing and usage.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market price of our Class A common stock may be volatile, which will directly affect the market price for the Blockchain Stock, and you could lose all or part of your investment.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txbxContent>
                </v:textbox>
                <w10:wrap type="none"/>
              </v:rect>
            </w:pict>
          </mc:Fallback>
        </mc:AlternateContent>
      </w:r>
    </w:p>
    <w:p>
      <w:pPr>
        <w:pStyle w:val="TextBody"/>
        <w:bidi w:val="0"/>
        <w:spacing w:lineRule="auto" w:line="288" w:before="0" w:after="180"/>
        <w:jc w:val="left"/>
        <w:rPr/>
      </w:pPr>
      <w:hyperlink w:anchor="i8e13d1b6f3764394b0e424082d2ac79f_7">
        <w:r>
          <w:rPr>
            <w:rStyle w:val="InternetLink"/>
            <w:rFonts w:ascii="Times New Roman;serif" w:hAnsi="Times New Roman;serif"/>
            <w:b w:val="false"/>
            <w:color w:val="000080"/>
            <w:sz w:val="20"/>
            <w:u w:val="single"/>
          </w:rPr>
          <w:t>Table of Content</w:t>
        </w:r>
      </w:hyperlink>
      <w:hyperlink w:anchor="i8e13d1b6f3764394b0e424082d2ac79f_7">
        <w:r>
          <w:rPr>
            <w:rStyle w:val="InternetLink"/>
            <w:rFonts w:ascii="Times New Roman;serif" w:hAnsi="Times New Roman;serif"/>
            <w:b w:val="false"/>
            <w:color w:val="000080"/>
            <w:sz w:val="20"/>
            <w:u w:val="single"/>
          </w:rPr>
          <w:t>s</w:t>
        </w:r>
      </w:hyperlink>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 xml:space="preserve">PART I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ITEM 1.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Business Overview</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Figure is building the future of capital markets using blockchain-based technology.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Figure’s proprietary technology powers next-generation lending, trading and investing activities in areas such as consumer credit and digital assets. Our application of the blockchain ledger allows us to better serve our end-customers, improve speed and efficiency, and enhance standardization and liquidity. Using our technology, we continue to develop dynamic, vertically-integrated marketplaces across the approximately $2 trillion consumer credit market and the rapidly growing approximately $3 trillion cryptocurrency and digital asset market. As a result, Figure has grown quickly in a capital-efficient manner since our founding, and more recently we have achieved strong and growing profitability, with net income of $134.3 million and Adjusted EBITDA of $251.2 million for the year ended December 31, 2025, compared to net income of $19.9 million and Adjusted EBITDA of $101.4 million for the year ended December 31, 2024, and accumulated deficit of $187.0 million and total stockholders’ equity of $1.2 billion as of December 31, 2025, compared to accumulated deficit of $320.9 million and total stockholders’ equity of $363.4 million, as of December 31, 2024. See the section titled “Non-GAAP Financial Measures” for information regarding our use of Adjusted Net Revenue and Adjusted EBITDA and a reconciliation of such Non-GAAP Financial Measures to our most directly comparable financial measures calculated and presented in accordance with accounting principles generally accepted in the United States (“GAAP”).</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infrastructure supporting capital markets today is fragmented and operates on legacy systems which employ antiquated processes for loan approvals and transaction processing. This creates process and cost inefficiencies in serving consumer credit markets and limits the development of alternative marketplaces. Furthermore, the manual elements underpinning the records of ownership and transfer of financial and real assets constrain liquidity, maintain elevated costs, and are error-prone.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Figure aims to address these challenges by using blockchain-based technology to innovate beyond legacy processes. We built a transformative, scaled and fast growing technology platform that displaces trust with truth in the financial ecosystem. Our platform also supports legacy systems, and our goal is to shift customer adoption towards blockchain-based solutions. Furthermore, our technology significantly reduces complexity and increases speed for market participants across the application, underwriting, funding and subsequent capital markets processes. Using our Loan Origination System (“LOS”), the time it takes to fund a home equity loan from application has been reduced to a median of 10 days from an industry median of approximately 43 days (based on data from industry sources) as of December 31, 2025. In comparison, for asset classes outside of mortgages, such as personal loans, there are many loan originators that utilize digitized, fast and automated processes that can fund as fast as same-day or often in as little as three to five days. Additionally, the average production cost per loan was reduced to approximately $717 for the year ended December 31, 2025 from a mortgage industry average of $11,109 as of September 30, 2025, the most recent period available, according to the Mortgage Bankers Association (“MBA”). This is a result of our entirely automated application process that takes as little as five minutes to complete and as few as five days to fund. Our platform automates income verification and offers customers the ability to redraw without incurring closing or out-of-pocket costs. Additionally, our platform employs an automatic valuation model, replacing the traditional, time-consuming appraisal process, and utilizes a digital lien matching process instead of the traditional analog title search. It also facilitates remote closings, including remote notaries, in jurisdictions where permitted by applicable laws. Importantly, we have brought a liquid capital market for loans behind this low cost, automated and blockchain-based origination engine.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Our technology enables the immutable recording of all assets and their key information on Provenance Blockchain. Provenance Blockchain, an independent Layer 1 blockchain, provides the scale, security, speed and cost structure to facilitate activity across the broad financial services landscape as a record of truth for assets. Using loans as an example, this authenticity record provides a validation mechanism to support the traditional, off-chain processes we use for tracking and monitoring loan transactions. This record provides verified information regarding the chain of ownership for all of the loans originated on our platform. Adoption of our technology has scaled significantly with every asset passing through Figure’s system being recorded on Provenance Blockchain, which has accumulated over $70 billion in both real-world and digital asset transactions since our launch in late 2018. According to data from RWA.xyz, our real-world assets total value locked is approximately $14 billion as of December 31, 2025 and our share of tokenized private credit is approximately 75% based on the value of outstanding loans originated as of December 31, 2025. </w:t>
      </w:r>
    </w:p>
    <w:p>
      <w:pPr>
        <w:pStyle w:val="TextBody"/>
        <w:bidi w:val="0"/>
        <w:spacing w:before="0" w:after="18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180"/>
        <w:jc w:val="left"/>
        <w:rPr/>
      </w:pPr>
      <w:hyperlink w:anchor="i8e13d1b6f3764394b0e424082d2ac79f_7">
        <w:r>
          <w:rPr>
            <w:rStyle w:val="InternetLink"/>
            <w:rFonts w:ascii="Times New Roman;serif" w:hAnsi="Times New Roman;serif"/>
            <w:b w:val="false"/>
            <w:color w:val="000080"/>
            <w:sz w:val="20"/>
            <w:u w:val="single"/>
          </w:rPr>
          <w:t>Table of Content</w:t>
        </w:r>
      </w:hyperlink>
      <w:hyperlink w:anchor="i8e13d1b6f3764394b0e424082d2ac79f_7">
        <w:r>
          <w:rPr>
            <w:rStyle w:val="InternetLink"/>
            <w:rFonts w:ascii="Times New Roman;serif" w:hAnsi="Times New Roman;serif"/>
            <w:b w:val="false"/>
            <w:color w:val="000080"/>
            <w:sz w:val="20"/>
            <w:u w:val="single"/>
          </w:rPr>
          <w:t>s</w:t>
        </w:r>
      </w:hyperlink>
    </w:p>
    <w:p>
      <w:pPr>
        <w:pStyle w:val="TextBody"/>
        <w:bidi w:val="0"/>
        <w:spacing w:lineRule="auto" w:line="288" w:before="0" w:after="18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We began addressing the consumer credit market in 2018 with our Figure-branded product, which catered to direct-to-consumer home equity loans. We then expanded further through Partner-branded strategies, in which a growing number of partners use our technology to independently originate home equity loans. For the year ended December 31, 2025, we facilitated approximately $8.3 billion of home equity lending, representing an increase of 62% compared to the year ended December 31, 2024. As of December 31, 2025 we had 307 active partners. </w:t>
      </w:r>
    </w:p>
    <w:p>
      <w:pPr>
        <w:pStyle w:val="TextBody"/>
        <w:bidi w:val="0"/>
        <w:spacing w:lineRule="auto" w:line="288" w:before="0" w:after="18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For the year ended December 31, 2025, 87% of loans originated through our LOS, which include loans originated by Figure as well as by our partners, utilized our proprietary DART platform, compared to only 2% of loan originations for the year ended December 31, 2024. DART is an electronic registry that tracks servicing rights and ownership of loans in the United States on Provenance Blockchain. Loans originated by our partners utilizing DART accounted for 88% of Partner-branded loans and 67% of all loans originated by our LOS (including wholesale (brokered) transactions) for the year ended December 31, 2025. We pay a minimal amount in the form of HASH for our use of the Provenance Blockchain. HASH is the utility token of the Provenance Blockchain and therefore gas fees (usage fees) are paid in HASH. A small amount of HASH is required to complete each transaction, and we pay these fees on behalf of all participants for any activity they complete with our assets. The average gas fee has been less than one HASH since 2018, which is equivalent to approximately $0.02 as of December 31, 2025. </w:t>
      </w:r>
    </w:p>
    <w:p>
      <w:pPr>
        <w:pStyle w:val="TextBody"/>
        <w:bidi w:val="0"/>
        <w:spacing w:lineRule="auto" w:line="288" w:before="0" w:after="18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Since launching Figure Connect in June 2024, approximately $3.9 billion in HELOC volume was transacted on Figure Connect by third parties and 48 total marketplace participants (across loan originators, buyers and investors) were onboarded as of December 31, 2025. Our relationship with our partners is based on our partners’ right to use our solutions. Once a partner is approved and onboarded, the partner enters into a contractual agreement with us for the right to use our LOS and Figure Connect marketplace, an electronic marketplace that employs blockchain technology to directly connect sellers and buyers of loans, in exchange for fees. These partner agreements typically have a fixed term with auto-renewals unless notice is given to terminate, are non-exclusive and do not obligate our partners to use our solutions. The fees we earn from partners are based on the principal balance of each loan originated on our LOS and the principal balance of loans transacted on Figure Connect.</w:t>
      </w:r>
    </w:p>
    <w:p>
      <w:pPr>
        <w:pStyle w:val="TextBody"/>
        <w:bidi w:val="0"/>
        <w:spacing w:lineRule="auto" w:line="288" w:before="0" w:after="180"/>
        <w:jc w:val="both"/>
        <w:rPr/>
      </w:pPr>
      <w:r>
        <w:rPr>
          <w:rFonts w:ascii="Times New Roman;serif" w:hAnsi="Times New Roman;serif"/>
          <w:b w:val="false"/>
          <w:color w:val="000000"/>
          <w:sz w:val="20"/>
          <w:shd w:fill="FFFFFF" w:val="clear"/>
        </w:rPr>
        <w:t>In February 2025, we formed a joint venture with Sixth Street Partners (“Sixth Street”), Fig SIX Mortgage, LLC</w:t>
      </w:r>
      <w:r>
        <w:rPr>
          <w:rFonts w:ascii="Times New Roman;serif" w:hAnsi="Times New Roman;serif"/>
          <w:b w:val="false"/>
          <w:color w:val="000000"/>
          <w:sz w:val="20"/>
        </w:rPr>
        <w:t>, to purchase HELOC loans originated through our LOS and sold through Figure Connect. Sixth Street Partners is a global investment firm that invests in credit products, among other strategies. Fig SIX Mortgage, LLC is capitalized with 95% Sixth Street equity and 5% Figure equity. We refer to this joint venture and its activities as a “Guarantor Vehicle.” The Guarantor Vehicle is expected to wholly own the loans it purchases and subsequently sell these loans into Figure HELOC securitizations. Both we and Sixth Street Partners expect to continue to contribute equity into the joint venture up to a total $210.5 million commitment. As of December 31, 2025, Figure had contributed $2.5 million of equity into the Guarantor Vehicle out of a total $10.5 million initial commitment, and Sixth Street Partners had contributed $47.1 million out of a total $200.0 million initial commitment. We do not consolidate the financial statements of the Guarantor Vehicle. Our aim with Figure Connect is to enhance liquidity for loans originated on our LOS, and we believe the Guarantor Vehicle will significantly advance this goal.</w:t>
      </w:r>
    </w:p>
    <w:p>
      <w:pPr>
        <w:pStyle w:val="TextBody"/>
        <w:bidi w:val="0"/>
        <w:spacing w:lineRule="auto" w:line="288" w:before="0" w:after="18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With our technology applicable to the broader capital markets, we are expanding beyond our foundational solutions by developing trading and investing products. One example is Figure Exchange, a digital asset marketplace that provides customers advantages for crypto-trading, such as cross-asset collateralization for margin lending. Another example is YLDS, a groundbreaking interest-bearing peer-to-peer transferable stablecoin that is both native to a public blockchain and a debt security registered with the SEC. YLDS has many use cases resulting from its status as a security, including yielding collateral for institutions, cross-border payments and serving as the de-facto currency of Figure Exchange. For the year ended December 31, 2025, we generated $1.1 million in net interest income from YLDS and we did not generate material revenue from Figure Exchange. </w:t>
      </w:r>
    </w:p>
    <w:p>
      <w:pPr>
        <w:pStyle w:val="TextBody"/>
        <w:bidi w:val="0"/>
        <w:spacing w:lineRule="auto" w:line="288" w:before="0" w:after="180"/>
        <w:jc w:val="both"/>
        <w:rPr/>
      </w:pPr>
      <w:r>
        <w:rPr>
          <w:rFonts w:ascii="Times New Roman;serif" w:hAnsi="Times New Roman;serif"/>
          <w:b w:val="false"/>
          <w:color w:val="000000"/>
          <w:sz w:val="20"/>
          <w:shd w:fill="FFFFFF" w:val="clear"/>
        </w:rPr>
        <w:t xml:space="preserve">A newer pillar of our value proposition is the </w:t>
      </w:r>
      <w:r>
        <w:rPr>
          <w:rFonts w:ascii="Times New Roman;serif" w:hAnsi="Times New Roman;serif"/>
          <w:b w:val="false"/>
          <w:color w:val="000000"/>
          <w:sz w:val="20"/>
        </w:rPr>
        <w:t>Democratized Prime</w:t>
      </w:r>
      <w:r>
        <w:rPr>
          <w:color w:val="000000"/>
          <w:shd w:fill="FFFFFF" w:val="clear"/>
        </w:rPr>
        <w:t xml:space="preserve"> </w:t>
      </w:r>
      <w:r>
        <w:rPr>
          <w:rFonts w:ascii="Times New Roman;serif" w:hAnsi="Times New Roman;serif"/>
          <w:b w:val="false"/>
          <w:color w:val="000000"/>
          <w:sz w:val="20"/>
          <w:shd w:fill="FFFFFF" w:val="clear"/>
        </w:rPr>
        <w:t xml:space="preserve">platform, which disrupts the traditional prime brokerage infrastructure by allowing users to lend their assets or excess cash into the ecosystem at a market-clearing rate. </w:t>
      </w:r>
      <w:r>
        <w:rPr>
          <w:rFonts w:ascii="Times New Roman;serif" w:hAnsi="Times New Roman;serif"/>
          <w:b w:val="false"/>
          <w:color w:val="000000"/>
          <w:sz w:val="20"/>
        </w:rPr>
        <w:t>Democratized Prime</w:t>
      </w:r>
      <w:r>
        <w:rPr>
          <w:color w:val="000000"/>
          <w:shd w:fill="FFFFFF" w:val="clear"/>
        </w:rPr>
        <w:t xml:space="preserve"> </w:t>
      </w:r>
      <w:r>
        <w:rPr>
          <w:rFonts w:ascii="Times New Roman;serif" w:hAnsi="Times New Roman;serif"/>
          <w:b w:val="false"/>
          <w:color w:val="000000"/>
          <w:sz w:val="20"/>
          <w:shd w:fill="FFFFFF" w:val="clear"/>
        </w:rPr>
        <w:t xml:space="preserve">is a decentralized, blockchain-based financial (“DeFi”) marketplace connecting sources and uses of capital, where common borrowers face off against common lenders. Lenders have pro-rata exposure to all borrowers and make their decision on participating and on the desired loan interest rate based on a combination of (i) the liquidity of the collateral, (ii) the volatility of the collateral, (iii) the over-collateralization amount, and (iv) the quality of the collateral. In the case of Figure </w:t>
      </w:r>
      <w:r>
        <w:rPr>
          <w:rFonts w:ascii="Times New Roman;serif" w:hAnsi="Times New Roman;serif"/>
          <w:b w:val="false"/>
          <w:color w:val="000000"/>
          <w:sz w:val="20"/>
        </w:rPr>
        <w:t>HELOC</w:t>
      </w:r>
      <w:r>
        <w:rPr>
          <w:color w:val="000000"/>
          <w:shd w:fill="FFFFFF" w:val="clear"/>
        </w:rPr>
        <w:t xml:space="preserve"> </w:t>
      </w:r>
      <w:r>
        <w:rPr>
          <w:rFonts w:ascii="Times New Roman;serif" w:hAnsi="Times New Roman;serif"/>
          <w:b w:val="false"/>
          <w:color w:val="000000"/>
          <w:sz w:val="20"/>
          <w:shd w:fill="FFFFFF" w:val="clear"/>
        </w:rPr>
        <w:t xml:space="preserve">loans, there is a weekly </w:t>
      </w:r>
      <w:r>
        <w:rPr>
          <w:rFonts w:ascii="Times New Roman;serif" w:hAnsi="Times New Roman;serif"/>
          <w:b w:val="false"/>
          <w:color w:val="000000"/>
          <w:sz w:val="20"/>
        </w:rPr>
        <w:t>Bid Wanted In Competition</w:t>
      </w:r>
      <w:r>
        <w:rPr>
          <w:color w:val="000000"/>
          <w:shd w:fill="FFFFFF" w:val="clear"/>
        </w:rPr>
        <w:t xml:space="preserve"> </w:t>
      </w:r>
      <w:r>
        <w:rPr>
          <w:rFonts w:ascii="Times New Roman;serif" w:hAnsi="Times New Roman;serif"/>
          <w:b w:val="false"/>
          <w:color w:val="000000"/>
          <w:sz w:val="20"/>
          <w:shd w:fill="FFFFFF" w:val="clear"/>
        </w:rPr>
        <w:t>(“</w:t>
      </w:r>
      <w:r>
        <w:rPr>
          <w:rFonts w:ascii="Times New Roman;serif" w:hAnsi="Times New Roman;serif"/>
          <w:b w:val="false"/>
          <w:color w:val="000000"/>
          <w:sz w:val="20"/>
        </w:rPr>
        <w:t>BWIC</w:t>
      </w:r>
      <w:r>
        <w:rPr>
          <w:color w:val="000000"/>
          <w:shd w:fill="FFFFFF" w:val="clear"/>
        </w:rPr>
        <w:t>”</w:t>
      </w:r>
      <w:r>
        <w:rPr>
          <w:rFonts w:ascii="Times New Roman;serif" w:hAnsi="Times New Roman;serif"/>
          <w:b w:val="false"/>
          <w:color w:val="000000"/>
          <w:sz w:val="20"/>
          <w:shd w:fill="FFFFFF" w:val="clear"/>
        </w:rPr>
        <w:t xml:space="preserve">) for these loans that provides liquidity; should there be a breach of loan-to-value ratio, the relevant loans will be liquidated through the </w:t>
      </w:r>
      <w:r>
        <w:rPr>
          <w:rFonts w:ascii="Times New Roman;serif" w:hAnsi="Times New Roman;serif"/>
          <w:b w:val="false"/>
          <w:color w:val="000000"/>
          <w:sz w:val="20"/>
        </w:rPr>
        <w:t>BWIC</w:t>
      </w:r>
      <w:r>
        <w:rPr>
          <w:color w:val="000000"/>
          <w:shd w:fill="FFFFFF" w:val="clear"/>
        </w:rPr>
        <w:t xml:space="preserve"> </w:t>
      </w:r>
      <w:r>
        <w:rPr>
          <w:rFonts w:ascii="Times New Roman;serif" w:hAnsi="Times New Roman;serif"/>
          <w:b w:val="false"/>
          <w:color w:val="000000"/>
          <w:sz w:val="20"/>
          <w:shd w:fill="FFFFFF" w:val="clear"/>
        </w:rPr>
        <w:t>process.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180"/>
        <w:jc w:val="left"/>
        <w:rPr/>
      </w:pPr>
      <w:hyperlink w:anchor="i8e13d1b6f3764394b0e424082d2ac79f_7">
        <w:r>
          <w:rPr>
            <w:rStyle w:val="InternetLink"/>
            <w:rFonts w:ascii="Times New Roman;serif" w:hAnsi="Times New Roman;serif"/>
            <w:b w:val="false"/>
            <w:color w:val="000080"/>
            <w:sz w:val="20"/>
            <w:u w:val="single"/>
          </w:rPr>
          <w:t>Table of Content</w:t>
        </w:r>
      </w:hyperlink>
      <w:hyperlink w:anchor="i8e13d1b6f3764394b0e424082d2ac79f_7">
        <w:r>
          <w:rPr>
            <w:rStyle w:val="InternetLink"/>
            <w:rFonts w:ascii="Times New Roman;serif" w:hAnsi="Times New Roman;serif"/>
            <w:b w:val="false"/>
            <w:color w:val="000080"/>
            <w:sz w:val="20"/>
            <w:u w:val="single"/>
          </w:rPr>
          <w:t>s</w:t>
        </w:r>
      </w:hyperlink>
    </w:p>
    <w:p>
      <w:pPr>
        <w:pStyle w:val="TextBody"/>
        <w:bidi w:val="0"/>
        <w:spacing w:lineRule="auto" w:line="288" w:before="0" w:after="180"/>
        <w:jc w:val="both"/>
        <w:rPr/>
      </w:pPr>
      <w:r>
        <w:rPr>
          <w:rFonts w:ascii="Times New Roman;serif" w:hAnsi="Times New Roman;serif"/>
          <w:b w:val="false"/>
          <w:color w:val="000000"/>
          <w:sz w:val="20"/>
          <w:shd w:fill="FFFFFF" w:val="clear"/>
        </w:rPr>
        <w:t xml:space="preserve">As of </w:t>
      </w:r>
      <w:r>
        <w:rPr>
          <w:rFonts w:ascii="Times New Roman;serif" w:hAnsi="Times New Roman;serif"/>
          <w:b w:val="false"/>
          <w:color w:val="000000"/>
          <w:sz w:val="20"/>
        </w:rPr>
        <w:t>December 31, 2025, t</w:t>
      </w:r>
      <w:r>
        <w:rPr>
          <w:rFonts w:ascii="Times New Roman;serif" w:hAnsi="Times New Roman;serif"/>
          <w:b w:val="false"/>
          <w:color w:val="000000"/>
          <w:sz w:val="20"/>
          <w:shd w:fill="FFFFFF" w:val="clear"/>
        </w:rPr>
        <w:t xml:space="preserve">he applicable fees for </w:t>
      </w:r>
      <w:r>
        <w:rPr>
          <w:rFonts w:ascii="Times New Roman;serif" w:hAnsi="Times New Roman;serif"/>
          <w:b w:val="false"/>
          <w:color w:val="000000"/>
          <w:sz w:val="20"/>
        </w:rPr>
        <w:t>Democratized Prime</w:t>
      </w:r>
      <w:r>
        <w:rPr>
          <w:color w:val="000000"/>
          <w:shd w:fill="FFFFFF" w:val="clear"/>
        </w:rPr>
        <w:t xml:space="preserve"> </w:t>
      </w:r>
      <w:r>
        <w:rPr>
          <w:rFonts w:ascii="Times New Roman;serif" w:hAnsi="Times New Roman;serif"/>
          <w:b w:val="false"/>
          <w:color w:val="000000"/>
          <w:sz w:val="20"/>
          <w:shd w:fill="FFFFFF" w:val="clear"/>
        </w:rPr>
        <w:t xml:space="preserve">are </w:t>
      </w:r>
      <w:r>
        <w:rPr>
          <w:rFonts w:ascii="Times New Roman;serif" w:hAnsi="Times New Roman;serif"/>
          <w:b w:val="false"/>
          <w:color w:val="000000"/>
          <w:sz w:val="20"/>
        </w:rPr>
        <w:t>50</w:t>
      </w:r>
      <w:r>
        <w:rPr>
          <w:color w:val="000000"/>
          <w:shd w:fill="FFFFFF" w:val="clear"/>
        </w:rPr>
        <w:t xml:space="preserve"> </w:t>
      </w:r>
      <w:r>
        <w:rPr>
          <w:rFonts w:ascii="Times New Roman;serif" w:hAnsi="Times New Roman;serif"/>
          <w:b w:val="false"/>
          <w:color w:val="000000"/>
          <w:sz w:val="20"/>
          <w:shd w:fill="FFFFFF" w:val="clear"/>
        </w:rPr>
        <w:t>basis points of outstanding balance and are paid by the borr</w:t>
      </w:r>
      <w:r>
        <w:rPr>
          <w:rFonts w:ascii="Times New Roman;serif" w:hAnsi="Times New Roman;serif"/>
          <w:b w:val="false"/>
          <w:color w:val="000000"/>
          <w:sz w:val="20"/>
        </w:rPr>
        <w:t>ower. As of December 31, 2025, Democratized Prime had not generated material revenue as we have provided the initial assets to support the platform while we build out funding distribution. We expect Democratized Prime to grow as users begin to recognize its benefits.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believe that we have established a regulatory and licensing apparatus which sets us apart from our competitors and enables us to continue expanding our diverse product offering. We currently have more than 180 lending and servicing licenses, 48 money transmitter licenses, and are an SEC-registered broker-dealer with authority to operate an alternative trading system (“ATS”), the operations of which are conducted in accordance with SEC and the Financial Industry Regulatory Authority (“FINRA”) rules and regulations.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addition to fees generated from our partners, we earn volume-based fees from partners and users who utilize our technology solutions to transact in our ecosystem. Within this usage-based model, we target positive unit economics in each of our solutions. In addition to our growing stream of ecosystem and technology fees, we also earn origination, gain on sale, and servicing revenue from assets generated through our LOS. During the year ended December 31, 2025, HELOCs comprised over 98% of our total loan originations.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For the year ended December 31, 2024, approximately 82% of our total net revenue was generated from origination fees, gain on sale of loans, servicing fees and interest income from assets generated through our LOS from both Figure and our network of partners. For the year ended December 31, 2025, this represented approximately 71% of total net revenue, as revenue from Figure Connect and other new products grew faster than the solely LOS-driven revenue sources.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Competition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Our integrated loan origination and distribution technology solution faces competition from other originators’ proprietary systems and from third-party digital origination technology solutions providers. In particular, we compete with a variety of technology companies that aim to help legacy financial institutions with the digital transformation of their businesses, particularly with respect to originating, servicing, financing, and selling loans. This includes new products from legacy bank technology providers as well as newer companies focused entirely on lending software infrastructure for financial institutions. Within consumer loans, the extension of credit is highly competitive and increasingly dynamic as emerging technologies continue to enter into the marketplace. Our Partner-branded and Figure-branded originated loans compete in varying degrees with all other sources of secured and unsecured consumer credit, including depository and non-depository lenders (including retail and wholesale-based lenders) as well as other financial technology lending platforms.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may also face competition from companies that have not previously competed in the consumer lending or financial services market, including companies with significant resources, large and experienced data science teams, and access to vast amounts of consumer-related information, including to information to which we do not have access, that could be used in the development of competing platforms and credit risk models.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believe none of our competitors provide an offering equivalent to our platform, which we believe displaces legacy infrastructure at each stage of the loan lifecycle based on the principles of efficiency, customer experience, transparency, scalability, and flexibility. Specifically, we believe we distinguish ourselves from our competition through our technology and automation, streamlined originations, partner-accessible platform, and digitally native underwriting, which allows us and our partners to offer loan approvals in as little as five minutes and funding in as little as five days (subject to regulatory waiting periods), a fully electronic closing process, where allowed, a broad distribution network, and our embedded servicing and capital markets technology delivered via our blockchain-based ecosystem.</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believe we compete favorably based on the following competitive factors: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speed and ease of use enabled through our blockchain-based technology;</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overall customer experience, including convenient access, product functionality, and transparency throughout the transaction;</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partner satisfaction, including ease of onboarding, scope of offering, and value-add to all parties in our ecosystem;</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flexibility, scalability, and the ability to innovate and improve rapidly;</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ability to competitively price loan products for customers, partners, and loan purchasers on the secondary market;</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ability to offer and sell loans efficiently and transparently in the capital markets;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180"/>
        <w:jc w:val="left"/>
        <w:rPr/>
      </w:pPr>
      <w:hyperlink w:anchor="i8e13d1b6f3764394b0e424082d2ac79f_7">
        <w:r>
          <w:rPr>
            <w:rStyle w:val="InternetLink"/>
            <w:rFonts w:ascii="Times New Roman;serif" w:hAnsi="Times New Roman;serif"/>
            <w:b w:val="false"/>
            <w:color w:val="000080"/>
            <w:sz w:val="20"/>
            <w:u w:val="single"/>
          </w:rPr>
          <w:t>Table of Content</w:t>
        </w:r>
      </w:hyperlink>
      <w:hyperlink w:anchor="i8e13d1b6f3764394b0e424082d2ac79f_7">
        <w:r>
          <w:rPr>
            <w:rStyle w:val="InternetLink"/>
            <w:rFonts w:ascii="Times New Roman;serif" w:hAnsi="Times New Roman;serif"/>
            <w:b w:val="false"/>
            <w:color w:val="000080"/>
            <w:sz w:val="20"/>
            <w:u w:val="single"/>
          </w:rPr>
          <w:t>s</w:t>
        </w:r>
      </w:hyperlink>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brand awareness and reputation across the ecosystem.</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a still relatively nascent industry, the digital asset landscape continues to be shaped by evolving regulation, a shift in the composition of major players and expanding avenues for growth and business lines. For Figure Exchange, the closest competitors are incumbent centralized cryptocurrency and digital asset exchanges. YLDS faces direct competition from other stablecoin issuers, although the scope of YLDS is set to broaden as we aim to displace legacy fiat payment rails and traditional stores of value like money market funds. Furthermore, as regulatory sentiment is increasingly perceived as more favorable in the United States, we anticipate heightened competitive tension on the back of new entrants.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Exchange firms focused on digital assets are expanding their business latitude, evolving beyond basic cryptocurrency trading platforms to offer bundled services and products that aim to capture incremental portions of the value chain. At the same time, the collapse and retreat of major participants has left market vacuums to be occupied by new players, altering pre-established competitive dynamics.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Stablecoin issuance has seen a marked increase as regulatory sentiment towards cryptocurrencies has become more favorable in the United States. With the inherent volatility in cryptocurrencies, there is a demand for coins that can act as a reliable store of value, a first step if their ultimate goal is to displace fiat currency payments infrastructure and, effectively, decentralize finance. As such, participants are focused on achieving mass adoption and boosting activity as the market presents significant network effects that could suggest partial winner-takes-all dynamics.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Under this context, we believe Figure Exchange and YLDS offers differentiated solutions based on the following factors: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decentralized custody where investors remain in full control of their assets;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unique tokenized real-world assets that will be exclusive to Figure Exchange;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disintermediated monetization of user assets via our Democratized Prime offering;</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platform infrastructure that allows users to cross collateralize assets, efficiently reducing margin requirements, the implied drag on returns, and increasing their overall access to secured credit;</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regulatory and licensing moat that limits our competitors capacity to offer our full comprehensive suite of products;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YLDS status as a registered security permits institutional investors to hold it, with the increased attractiveness of receiving interest payments;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YLDS use cases for trade settlement and payments with transferability 24 hours, 7 days a week.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Research and Development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technology platform operates as the interface that drives efficiency, transparency, and certainty into the end-to-end loan origination and distribution process for our customers, partners, and our loan purchasers. We invest substantial resources in research and development to expand our platform by developing new components, features, and product offerings. Our product, engineering, and design teams build our platform and products in light of direct customer feedback, partner dialogue, market opportunity, and investor requirements. In addition, we continuously monitor our funnel to gain a deep understanding of the tasks and workflows we can make more efficient and user-friendly. We analyze the data from tens of thousands of applications flowing through our system to understand opportunities for driving further automation and improvements. We expect costs related to our research and development activities to increase in absolute dollars but decline as a percentage of total revenue as we continue to grow our business. We intend to leverage our existing platform in addition to hiring product, engineering, and design teams to expand our technology and launch products.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Intellectual Property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believe that our success depends in part on our ability to obtain, establish, enforce, and defend intellectual property rights in our core technology and innovations. We rely on a combination of trademark, service mark, trade secret, patent, and copyright laws in the United States and other jurisdictions, as well as license agreements, contractual restrictions, non</w:t>
        <w:noBreakHyphen/>
        <w:t xml:space="preserve">disclosure agreements, employee confidentiality, and intellectual property assignment agreements, and other contractual protections and confidentiality procedures, to obtain, establish, enforce, and defend our intellectual property rights. We seek to control access to our proprietary technology by entering into confidentiality and invention assignment agreements with our employees and contractors, and confidentiality agreements with third parties. Though we rely in part upon these legal, contractual, and procedural protections, we believe that factors such as the technological and creative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180"/>
        <w:jc w:val="left"/>
        <w:rPr/>
      </w:pPr>
      <w:hyperlink w:anchor="i8e13d1b6f3764394b0e424082d2ac79f_7">
        <w:r>
          <w:rPr>
            <w:rStyle w:val="InternetLink"/>
            <w:rFonts w:ascii="Times New Roman;serif" w:hAnsi="Times New Roman;serif"/>
            <w:b w:val="false"/>
            <w:color w:val="000080"/>
            <w:sz w:val="20"/>
            <w:u w:val="single"/>
          </w:rPr>
          <w:t>Table of Content</w:t>
        </w:r>
      </w:hyperlink>
      <w:hyperlink w:anchor="i8e13d1b6f3764394b0e424082d2ac79f_7">
        <w:r>
          <w:rPr>
            <w:rStyle w:val="InternetLink"/>
            <w:rFonts w:ascii="Times New Roman;serif" w:hAnsi="Times New Roman;serif"/>
            <w:b w:val="false"/>
            <w:color w:val="000080"/>
            <w:sz w:val="20"/>
            <w:u w:val="single"/>
          </w:rPr>
          <w: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skills of our personnel, creation of new services, features, and functionality, and frequent enhancements to our software platform are more essential to establishing and maintaining our technology leadership position. In addition, we use open source software in certain aspects of our platform. The terms of various open source licenses have not been interpreted by U.S. or foreign courts, and there is a risk that such licenses could be construed in a manner that imposes unanticipated conditions or restrictions on our services. For additional information, see Item 1A., Risk Factors, Risks Related to Our Intellectual Property, “Our software contains third-party open source software components, which could subject our proprietary software to general release, restrict our ability to sell our products and subject us to possible litigation, claims or proceedings.”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of December 31, 2025, we had pending patent applications for certain aspects of our proprietary technology in the U.S. and various other countries. We filed these applications through two international patent applications under the Patent Cooperation Treaty, which allows the applicant to seek patent protection for an invention in a large number of countries simultaneously. These patent applications are pending, and we do not yet have patent protection for the inventions that they cover. The examination of the patent application in any particular jurisdiction may not be successful. We may, in the future, seek patent protection for additional technology that we develop. As of December 31, 2025, we had registered the term FIGURE as a trademark in Australia, Canada, the European Union, Hong Kong, Japan, the United Kingdom, and the United States, obtained protection granted status in India, and also registered the FIGURE logo as a trademark in China. We have also obtained trademark registrations for certain of our other business names and trademarks and may in the future seek additional trademark registrations in jurisdictions where we operate. In addition, we have registered domain names used in, or related to, our business, most importantly figure.com.</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intend to pursue additional intellectual property protection to the extent we believe it would be beneficial and cost</w:t>
        <w:noBreakHyphen/>
        <w:t>effective. Intellectual property laws, procedures, and restrictions provide only limited protection, and despite our commercially reasonable efforts to protect our current and future intellectual property rights, they may not be respected in the future or may be invalidated, circumvented, challenged, infringed, misappropriated, or otherwise violated. Further, the laws of certain countries do not protect proprietary rights to the same extent as the laws of the United States, and, therefore, in certain jurisdictions, we may be unable to protect our proprietary technology, brand, or other intellectual property rights. We cannot guarantee that our existing and future patents, copyrights, trademarks, service marks, trade secrets, know</w:t>
        <w:noBreakHyphen/>
        <w:t>how, domain names, and other intellectual property rights will provide us with competitive advantages, distinguish our products from those of our competitors, or prevent competitors from launching comparable products. Further, we may not be able to prevent third parties from infringing, diluting, misappropriating, or otherwise violating our intellectual property rights, and we may face challenges to the validity or enforceability of our intellectual property rights. Although we are not presently involved in intellectual property lawsuits, we may face allegations from third parties, including our competitors and “non</w:t>
        <w:noBreakHyphen/>
        <w:t>practicing entities,” that we have infringed, misappropriated, or otherwise violated their intellectual property rights. For additional information, see Item 1A., Risk Factors, Risks Related to Our Intellectual Property.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Regulatory Environment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loans facilitated through our platform, whether by us or our partners, and the other products and services we offer, are subject to a wide array of extensive and complex laws and regulations that are subject to ongoing change, reinterpretation and evolution. Compliance with these laws and regulations may be subject to examination by various federal, state, and local government authorities. Failure to comply with applicable laws and regulations can lead to severe consequences, such as the revocation of necessary licenses or registration, loss of approved status, nullification or rescission of the loan contracts, class action lawsuits and other litigation, investigations, enforcement actions, and other regulatory and legal action and penalties, including civil and criminal liability. Moreover, we, along with our partners, vendors, and other service providers must comply with laws and regulatory frameworks that apply both directly to us and indirectly to our partners, vendors, or service providers. This includes compliance in areas such as lending, consumer protection, privacy, data security, and data protection, especially given our role as a technology provider to financial services firms. Our contractual relationships with our customers also necessitate strict adherence to these legal and regulatory standards to ensure the integrity and security of our operations and services.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hold licenses and currently offer (i) HELOCs directly to consumers through our Figure-branded solutions in Washington D.C. and all states other than Hawaii, and (ii) digital assets-secured personal loans in all states other than Idaho, Illinois, Kentucky, Maryland, Mississippi, South Dakota, Texas, Vermont, and Virginia. Our partners offer HELOCs and other loans directly to consumers using our technology in all states where they are appropriately licensed.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we hold various licenses and registrations for the other financial services we offer at the federal and state level, including those related to consumer credit transactions, mortgage lending, loan servicing and collection activities, money transmission and digital assets transactions, the purchase and sale of whole loans, and other related transactions. While we hold certain licenses in a number of jurisdictions, we may, however, be required to temporarily or permanently cease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180"/>
        <w:jc w:val="left"/>
        <w:rPr/>
      </w:pPr>
      <w:hyperlink w:anchor="i8e13d1b6f3764394b0e424082d2ac79f_7">
        <w:r>
          <w:rPr>
            <w:rStyle w:val="InternetLink"/>
            <w:rFonts w:ascii="Times New Roman;serif" w:hAnsi="Times New Roman;serif"/>
            <w:b w:val="false"/>
            <w:color w:val="000080"/>
            <w:sz w:val="20"/>
            <w:u w:val="single"/>
          </w:rPr>
          <w:t>Table of Content</w:t>
        </w:r>
      </w:hyperlink>
      <w:hyperlink w:anchor="i8e13d1b6f3764394b0e424082d2ac79f_7">
        <w:r>
          <w:rPr>
            <w:rStyle w:val="InternetLink"/>
            <w:rFonts w:ascii="Times New Roman;serif" w:hAnsi="Times New Roman;serif"/>
            <w:b w:val="false"/>
            <w:color w:val="000080"/>
            <w:sz w:val="20"/>
            <w:u w:val="single"/>
          </w:rPr>
          <w: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reorganize their offerings in certain jurisdictions to obtain additional licenses. Such additional licenses, reorganizations, temporary or permanent cessation of our offerings could have a material adverse effect on our business, financial condition, cash flows and results of operations and reputation.</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Truth in Lending Act including the Home Ownership and Equity Protection Act, and Regulation Z promulgated thereunder and similar state laws, which require certain disclosures to borrowers regarding the terms and conditions of their loans and credit transactions, require creditors to comply with certain lending practice restrictions, and limit the ability of a creditor to impose certain loan terms, take certain actions, or change the terms of a HELOC or other loans we make after origination.</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Fair Debt Collection Practices Act (“FDCPA”) and similar state laws, which provides guidelines and limitations on the conduct of certain debt collectors in connection with the collection of consumer debts. The FDCPA limits certain communications with third parties, imposes notice and debt validation requirements, and prohibits threatening, harassing, or abusive conduct in the course of debt collection. While the FDCPA primarily applies to third</w:t>
        <w:noBreakHyphen/>
        <w:t>party debt collectors, debt collection laws of certain states impose similar requirements more broadly on creditors who collect their own debts. In addition, the CFPB prohibits unfair, deceptive, or abusive acts or practices (“UDAAPs”) in debt collection, including first</w:t>
        <w:noBreakHyphen/>
        <w:t>party debt collection.</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Real Estate Settlement Procedures Act (the “RESPA”) and Regulation X promulgated thereunder, which require certain disclosures to be made to the borrower at application and closing, prohibit giving or accepting any fee, kickback, or other thing of value for the referral of real estate settlement services or accepting a portion or split of a settlement fee other than as fair market value for services actually provided, place limitations on affiliated business arrangements, and require mortgage servicers to comply with certain servicing practice obligations, including with respect to escrow account administration and maintenance.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Equal Credit Opportunity Act and Regulation B promulgated thereunder, and similar state fair lending laws, which prohibit creditors from discouraging or discriminating against credit applicants on the basis of race, color, sex, age, religion, national origin, marital status, the fact that all or part of the applicant’s income derives from any public assistance program or the fact that the applicant has in good faith exercised any right under the federal Consumer Credit Protection Act. Fair lending laws of certain states impose similar requirements more broadly by protecting additional classes of applicants and borrowers.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Fair Credit Reporting Act and Regulation V promulgated thereunder and similar state laws, which impose certain obligations on consumer reporting agencies, users of consumer reports and those that furnish information to consumer reporting agencies, including obligations relating to obtaining consumer reports, marketing using consumer reports, taking adverse action based on consumer report information, addressing risks of identity theft and fraud, and protecting the privacy and security of consumer reports and consumer report information.</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Section 5 of the FTC Act, which prohibits unfair and deceptive acts or practices in or affecting commerce, and Section 1031 of the Dodd</w:t>
        <w:noBreakHyphen/>
        <w:t>Frank Act, which prohibits UDAAPs in connection with any consumer financial product or service, and analogous state laws prohibiting unfair, deceptive, or abusive acts or practices.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Gramm–Leach–Bliley Act and Regulation P promulgated thereunder, which include limitations on financial services firms’ disclosure of nonpublic personal information about a consumer to nonaffiliated third parties, in certain circumstances require financial services firms to limit the use and further disclosure of nonpublic personal information by nonaffiliated third parties to whom they disclose such information and require financial services firms to disclose certain privacy notices and practices with respect to information sharing with affiliated and unaffiliated entities as well as to safeguard personal borrower information, and other state and federal laws and regulations relating to privacy and cybersecurity.</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Servicemembers Civil Relief Act, which allows military members to suspend or postpone certain civil obligations, requires creditors to reduce the interest rate to 6.0% on loans incurred before a servicemember entered active duty, and imposes certain obligations and restrictions on the enforcement of loans to servicemembers, including limitations on foreclosure or repossession of property securing certain loans, so that military members can focus on their duties.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Military Lending Act, which provides disclosure requirements, interest rate limitations, substantive conduct obligations and prohibitions on certain behavior relating to loans made to covered borrowers, which include both servicemembers and their dependents.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180"/>
        <w:jc w:val="left"/>
        <w:rPr/>
      </w:pPr>
      <w:hyperlink w:anchor="i8e13d1b6f3764394b0e424082d2ac79f_7">
        <w:r>
          <w:rPr>
            <w:rStyle w:val="InternetLink"/>
            <w:rFonts w:ascii="Times New Roman;serif" w:hAnsi="Times New Roman;serif"/>
            <w:b w:val="false"/>
            <w:color w:val="000080"/>
            <w:sz w:val="20"/>
            <w:u w:val="single"/>
          </w:rPr>
          <w:t>Table of Content</w:t>
        </w:r>
      </w:hyperlink>
      <w:hyperlink w:anchor="i8e13d1b6f3764394b0e424082d2ac79f_7">
        <w:r>
          <w:rPr>
            <w:rStyle w:val="InternetLink"/>
            <w:rFonts w:ascii="Times New Roman;serif" w:hAnsi="Times New Roman;serif"/>
            <w:b w:val="false"/>
            <w:color w:val="000080"/>
            <w:sz w:val="20"/>
            <w:u w:val="single"/>
          </w:rPr>
          <w:t>s</w:t>
        </w:r>
      </w:hyperlink>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Fair Housing Act and similar state fair lending laws, which prohibit discrimination in housing on the basis of race, sex, national origin, and certain other characteristics.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Secure and Fair Enforcement for Mortgage Licensing Act, which imposes state licensing requirements on mortgage loan originators.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Home Mortgage Disclosure Act and Regulation C promulgated thereunder, which require financial institutions to maintain, report, and publicly disclose loan</w:t>
        <w:noBreakHyphen/>
        <w:t>level information about their mortgage lending activity in order to help determine whether financial institutions are serving the housing needs of their communities, assist public officials in distributing public</w:t>
        <w:noBreakHyphen/>
        <w:t>sector investment so as to attract private investment to areas where it is needed, and assist in the enforcement of fair lending and anti</w:t>
        <w:noBreakHyphen/>
        <w:t>discrimination laws.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State laws and regulations that impose requirements related to unfair or deceptive business practices and consumer protection, as well as other state laws relating to privacy, information security, cybersecurity, and conduct in connection with data breaches.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State laws and regulations that impose licensing and other requirements related to money transmission, money services, and virtual currency activity, including with respect to the money transmitter licenses that we hold in most U.S. states and territories.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Flood Disaster Protection Act, which provides that a regulated lending institution may not make, increase, extend, or renew any loan secured by improved real property that is located in a designated special flood hazard area unless the improved real property is covered by a sufficient flood insurance policy.</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Telephone Consumer Protection Act, and the regulations promulgated thereunder, which impose various consumer consent requirements and other restrictions in connection with telemarketing activity and other communication with consumers by phone, fax, or text message, and which provide guidelines designed to safeguard consumer privacy in connection with such communications.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Electronic Signatures in Global and National Commerce Act, and similar state laws, particularly the Uniform Electronic Transactions Act, which authorize the creation of legally binding and enforceable agreements utilizing electronic records and signatures and which require financial services firms to obtain a consumer’s consent to electronically receive disclosures required under federal and state laws and regulations.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Electronic Funds Transfer Act, which regulates electronic fund transfer transactions, including a consumer’s right to stop payments on a pre-approved fund transfer and right to receive certain documentation of the transaction.</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U.S. Bankruptcy Code, which prohibits certain contacts with consumers after the filing of bankruptcy petitions and dictates what types of claims will or will not be allowed in a bankruptcy proceeding including how such claims may be discharged.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Americans with Disabilities Act, which has been interpreted to include websites as “places of public accommodations” that must meet certain federal requirements related to access and use.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Right to Financial Privacy Act and similar state laws that were enacted to provide the financial records of financial services firms’ customers a reasonable amount of privacy from government scrutiny.</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Bank Secrecy Act, as amended by the USA PATRIOT Act, and regulations promulgated thereunder, which relate to compliance with anti</w:t>
        <w:noBreakHyphen/>
        <w:t>money laundering, and counter</w:t>
        <w:noBreakHyphen/>
        <w:t>terrorist financing laws and require us, as a money services business, broker-dealer, loan or finance company, and/or other regulated entity, to, among other things, develop, implement, and maintain an anti</w:t>
        <w:noBreakHyphen/>
        <w:t>money laundering program, report suspicious activities and transactions to FinCEN, comply with certain reporting and recordkeeping requirements, and collect and maintain information about customers.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Foreign Corrupt Practices Act and other applicable laws concerning or relating to public sector or private sector bribery or corruption.</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regulations promulgated by Office of Foreign Assets Control under the U.S. Department of the Treasury related to the administration and enforcement of trade and economic sanctions against foreign jurisdictions and persons that threaten U.S. foreign policy and national security goals, primarily to prevent targeted jurisdictions and persons from accessing the U.S. financial system.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180"/>
        <w:jc w:val="left"/>
        <w:rPr/>
      </w:pPr>
      <w:hyperlink w:anchor="i8e13d1b6f3764394b0e424082d2ac79f_7">
        <w:r>
          <w:rPr>
            <w:rStyle w:val="InternetLink"/>
            <w:rFonts w:ascii="Times New Roman;serif" w:hAnsi="Times New Roman;serif"/>
            <w:b w:val="false"/>
            <w:color w:val="000080"/>
            <w:sz w:val="20"/>
            <w:u w:val="single"/>
          </w:rPr>
          <w:t>Table of Content</w:t>
        </w:r>
      </w:hyperlink>
      <w:hyperlink w:anchor="i8e13d1b6f3764394b0e424082d2ac79f_7">
        <w:r>
          <w:rPr>
            <w:rStyle w:val="InternetLink"/>
            <w:rFonts w:ascii="Times New Roman;serif" w:hAnsi="Times New Roman;serif"/>
            <w:b w:val="false"/>
            <w:color w:val="000080"/>
            <w:sz w:val="20"/>
            <w:u w:val="single"/>
          </w:rPr>
          <w:t>s</w:t>
        </w:r>
      </w:hyperlink>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Federal, state, and self-regulatory organization securities rules and laws, including, among others, the Securities Act, the Exchange Act, the Investment Advisers Act of 1940, as amended (the “Advisers Act”), and the Investment Company Act, the rules and regulations adopted under those laws, including those adopted by FINRA, and similar state laws and regulations, which govern how we offer, sell, and transact in our loan financing products.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are also subject to a variety of additional laws and regulations, such as those related to real estate, property and casualty insurance, title insurance, settlement services, mobile</w:t>
        <w:noBreakHyphen/>
        <w:t xml:space="preserve"> and internet-based businesses, data security, privacy, and consumer protection. Further, in connection with the issuance and transfer of YLDS and onboarding to our broker-dealer ATS, we require all participants to complete a know-your-customer (“KYC”) and anti-money laundering onboarding process, consistent with applicable U.S. federal and state financial regulatory requirements. This process is administered directly by us or through a registered transfer agent or broker-dealer and includes the collection of personally identifiable information such as name, date of birth, address, social security number, and contact information. Additionally, if certain digital asset transactions we facilitate or have previously facilitated were to, now or in the future, constitute “commodity interests” or “retail commodity transactions” as defined by and subject to regulation by the Commodity Futures Trading Commission (the “CFTC”), we could be subject to additional regulatory requirements, licenses, and approvals, including under the Commodity Exchange Act, as amended (the “CEA”), the rules and regulations promulgated by the CFTC thereunder, and the rules of the National Futures Association (“NFA”). See Item 1A., Risk Factors, Regulatory, Tax and Other Legal Risks, for additional information and a discussion of our regulatory risks.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Human Capital Resources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strong corporate culture is built upon respect for, and promotes the well</w:t>
        <w:noBreakHyphen/>
        <w:t>being of, our employees, empowering them to rise to their full potential and deliver their top performance. We create this environment by placing a focus on training, developing strong teams, and creating an organized efficient workplace. We focus on the continuous education of our employees by providing opportunities for real</w:t>
        <w:noBreakHyphen/>
        <w:t>time learning. We also strive to develop strong teams through our recruiting efforts, which focus on attracting hardworking individuals with a range of backgrounds and experiences. We also believe that the retention of employees who contribute to our success in measurable ways is key to sustaining our growth. We aim to drive employee retention through our market</w:t>
        <w:noBreakHyphen/>
        <w:t>based compensation philosophy and the adoption of unique employee benefits, such as mental health initiatives and financial wellness resources. We aim to achieve workplace organization through the implementation of consistent policies and procedures that are widely communicated and reinforced regularly through training and executive leadership. In addition, our strong commitment to promoting our corporate culture and belonging has fostered a highly collaborative and motivated workforce. We intend to continue to evaluate our human capital resources in managing our business, including the measures we employ to maintain inclusivity in our workforce.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of December 31, 2025, we had approximately 602 full</w:t>
        <w:noBreakHyphen/>
        <w:t>time employees. We also engage contractors and consultants. None of our employees are represented by a labor union or covered under a collective bargaining agreement. We have not experienced any work stoppages due to employee disputes, and we consider our relationship with our employees to be good.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Data Privacy and Security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data we collect, store, use, share, disclose, transmit, and otherwise process is integral to our business, serving as a key input to our operations and providing us with insights to improve our software platform and products. Our collection, use, receipt, and other processing or handling of data subjects us to numerous U.S. federal, state, and foreign laws and regulations regarding privacy, information security, and the collection, storage, sharing, use, transfer, disclosure, transmission, protection, and processing of certain types of data, including personal information and other non</w:t>
        <w:noBreakHyphen/>
        <w:t>public data. These regulations include, for example, the GLBA, TCPA, FCRA, CCPA, the FTC Act, and New York’s Cybersecurity Law. We work to comply with, and to provide a platform and products that comply with, applicable laws, rules, and regulations relating to privacy, data protection, and information security. This commitment underpins our aim to build trust and provide a strong experience to customers.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Despite our efforts to comply with applicable laws, rules, regulations, and other obligations relating to privacy, data protection, and information security, it is possible that our interpretations of such laws, rules, regulations, or other actual or asserted obligations, or our practices or software platform, could be inconsistent with, or fail or be alleged to fail to meet all requirements of, such laws, rules, regulations, or obligations. Our failure, or the failure by our partners, vendors, service providers, or customers, to comply with applicable laws, rules, or regulations or any other actual or asserted obligations relating to privacy, data protection, or information security, or any compromise of security that results in unauthorized access to, use, disclosure or other processing of, personal information or other data relating to customers or other individuals, or the perception that any of the foregoing types of failure or compromise has occurred, could damage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180"/>
        <w:jc w:val="left"/>
        <w:rPr/>
      </w:pPr>
      <w:hyperlink w:anchor="i8e13d1b6f3764394b0e424082d2ac79f_7">
        <w:r>
          <w:rPr>
            <w:rStyle w:val="InternetLink"/>
            <w:rFonts w:ascii="Times New Roman;serif" w:hAnsi="Times New Roman;serif"/>
            <w:b w:val="false"/>
            <w:color w:val="000080"/>
            <w:sz w:val="20"/>
            <w:u w:val="single"/>
          </w:rPr>
          <w:t>Table of Content</w:t>
        </w:r>
      </w:hyperlink>
      <w:hyperlink w:anchor="i8e13d1b6f3764394b0e424082d2ac79f_7">
        <w:r>
          <w:rPr>
            <w:rStyle w:val="InternetLink"/>
            <w:rFonts w:ascii="Times New Roman;serif" w:hAnsi="Times New Roman;serif"/>
            <w:b w:val="false"/>
            <w:color w:val="000080"/>
            <w:sz w:val="20"/>
            <w:u w:val="single"/>
          </w:rPr>
          <w: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reputation, discourage new and existing customers from using our software platform, or result in investigations or other proceedings by governmental agencies, private claims and litigation, and fines, penalties, and other liabilities. Such outcomes could adversely affect our business, financial condition, and results of operations. For additional information, see Item 1A., Risk Factors, Information Technology and Data Risks.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Seasonality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experience seasonal fluctuations in our business as a result of consumer spending patterns which we expect to mimic the seasonality of our general business in the near term. Historically, our Consumer Loan Marketplace volume has been the strongest during the second and third quarters due to increases in home improvements and our origination volume is at its lowest during the first and fourth quarters. Adverse events that occur during our second and third quarters could have a disproportionate effect on our financial results for the fiscal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Recent Developments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Reorganization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Prior to a change in corporate structure on March 18, 2024, the consolidated financial statements were under the former parent company, Figure Technologies, Inc. ("FT"). On March 18, 2024, FT, FT Intermediate, Inc. (“FTI”), and Figure Markets Holdings, Inc. (“FMH”) and other entities under common control consummated a reorganization (the “Reorganization”) whereby FT contributed assets and liabilities to FTI and subsequently, FT consummated a reverse merger with a subsidiary of FTI. Each outstanding share of common stock of FT converted into one share of common stock of FTI, whereby FTI (a) contributed assets and liabilities applicable to the FMH business and (b) 100% of the equity interest to FT's successor. FT then ratably distributed 74.1% of FMHs' common stock to third-party shareholders and 25.9% to related parties in exchange for their FTI common stock.</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a result of the Reorganization, there were two affiliated corporations under common control. Each of the following two corporations was owned either directly or indirectly by its controlling shareholder, Michael Cagney (“Controlling Party”):</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FTI was formed on March 18, 2024 as a Delaware corporation and primarily operates through its wholly-owned subsidiary, Figure Lending Corp. (“Lending”). Lending offers Figure Connect which generates ecosystem and technology fees, and originates, sells, and securitizes home equity line of credit (“HELOC”) loans that it services.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FMH was formed on January 25, 2024 as a Delaware corporation. FMH utilized blockchain technology to develop an exchange for digital assets and credit, with new product offerings including providing interest-bearing stablecoin deposits.</w:t>
      </w:r>
    </w:p>
    <w:p>
      <w:pPr>
        <w:pStyle w:val="TextBody"/>
        <w:bidi w:val="0"/>
        <w:spacing w:lineRule="auto" w:line="288" w:before="0" w:after="180"/>
        <w:jc w:val="both"/>
        <w:rPr/>
      </w:pPr>
      <w:r>
        <w:rPr>
          <w:rFonts w:ascii="Times New Roman;serif" w:hAnsi="Times New Roman;serif"/>
          <w:b w:val="false"/>
          <w:color w:val="000000"/>
          <w:sz w:val="20"/>
          <w:shd w:fill="FFFFFF" w:val="clear"/>
        </w:rPr>
        <w:t xml:space="preserve">In May 2025, both </w:t>
      </w:r>
      <w:r>
        <w:rPr>
          <w:rFonts w:ascii="Times New Roman;serif" w:hAnsi="Times New Roman;serif"/>
          <w:b w:val="false"/>
          <w:color w:val="000000"/>
          <w:sz w:val="20"/>
        </w:rPr>
        <w:t>FTI</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FMH</w:t>
      </w:r>
      <w:r>
        <w:rPr>
          <w:color w:val="000000"/>
          <w:shd w:fill="FFFFFF" w:val="clear"/>
        </w:rPr>
        <w:t xml:space="preserve"> </w:t>
      </w:r>
      <w:r>
        <w:rPr>
          <w:rFonts w:ascii="Times New Roman;serif" w:hAnsi="Times New Roman;serif"/>
          <w:b w:val="false"/>
          <w:color w:val="000000"/>
          <w:sz w:val="20"/>
          <w:shd w:fill="FFFFFF" w:val="clear"/>
        </w:rPr>
        <w:t>redomiciled from the State of Delaware to the State of Nevada.</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Recombination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On August 29, 2025 (“Recombination Date”), FTI and FMH recombined the businesses through a series of transactions (the “Recombination”) and FMH became a wholly-owned subsidiary of FTI. Approximately five outstanding shares of FMH common or preferred stock, options, or warrants converted into one share of common or preferred stock, options, or warrants of FTI (“Conversion Rate”). Upon the consummation of the Recombination, FTI changed its name to Figure Technology Solutions, Inc.</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Recombination was a reorganization of entities under common control as FTI and FMH were owned, either directly or indirectly, by the Controlling Party before and after the Recombination. As a result, the Recombination is accounted for in a manner similar to a pooling of interests with the assets and liabilities of the parties to the Recombination carried over at their historical amounts. Therefore, the accompanying Consolidated Financial Statements have been retrospectively recast to reflect the results as if FTI and FMH were a single consolidated entity as of the earliest period presented.</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Initial Public Offering (“IPO”)</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On September 12, 2025, the Company completed its IPO, in which the Company issued and sold 36,225,000 shares of its Class A common stock, including the underwriters’ over-allotment option which was exercised in full, at a public offering price of $25.00 per share. The IPO resulted in net proceeds to the Company of $663.4 million after deducting the underwriting discounts and commissions.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180"/>
        <w:jc w:val="left"/>
        <w:rPr/>
      </w:pPr>
      <w:hyperlink w:anchor="i8e13d1b6f3764394b0e424082d2ac79f_7">
        <w:r>
          <w:rPr>
            <w:rStyle w:val="InternetLink"/>
            <w:rFonts w:ascii="Times New Roman;serif" w:hAnsi="Times New Roman;serif"/>
            <w:b w:val="false"/>
            <w:color w:val="000080"/>
            <w:sz w:val="20"/>
            <w:u w:val="single"/>
          </w:rPr>
          <w:t>Table of Content</w:t>
        </w:r>
      </w:hyperlink>
      <w:hyperlink w:anchor="i8e13d1b6f3764394b0e424082d2ac79f_7">
        <w:r>
          <w:rPr>
            <w:rStyle w:val="InternetLink"/>
            <w:rFonts w:ascii="Times New Roman;serif" w:hAnsi="Times New Roman;serif"/>
            <w:b w:val="false"/>
            <w:color w:val="000080"/>
            <w:sz w:val="20"/>
            <w:u w:val="single"/>
          </w:rPr>
          <w: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connection with the IPO, all shares of outstanding convertible preferred stock, including 2,010,410 shares of Series E preferred stock issued upon the exercise of outstanding warrants, automatically converted to 113,910,905 shares of Class A common stock, and a total of 39,393,047 shares of our Class A common stock held by the Controlling Party and his permitted transferees were converted into an equivalent number of shares of Class B common stock, of which 1,500,000 shares were subsequently converted back to Class A and sold in connection with the IPO.</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OPEN Launch</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In February 2026, we launched On-Chain Public Equity Network (“OPEN”), a blockchain-based network designed to modernize the infrastructure that supports the issuance, trading, custody and lending of public equity securities.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OPEN enables companies to issue their equity natively on the Provenance Blockchain and make it available for secondary market trading on our ATS. OPEN is designed to reduce reliance on traditional centralized market infrastructure and provide new capabilities for public companies and shareholders. These capabilities are anticipated to include lower costs and capital requirements compared to existing clearing and settlement models, greater access to trading through self-custody and self-settlement mechanisms that can reduce the need for custodial intermediaries, portfolio margining across digital and tokenized assets.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aim to support frictionless two-way exchangeability between our securities issued on OPEN and our listed Class A common stock, a capability that we expect to make available to future OPEN issuers. This exchangeability is intended to promote liquidity and prices near par between blockchain securities and securities listed on national exchanges. </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Blockchain Common Stock Offering</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In February 2026, the Company successfully completed a secondary public offering of 4,375,000 shares of its Series A Blockchain Common Stock ("Blockchain Stock"). The selling stockholders in the offering agreed to sell 4,687,500 shares of Class A common stock to the underwriters. The Company did not raise proceeds through this offering. In conjunction with the offering, the Company repurchased 312500 of our Class A common stock, subsequently held in treasury, that were subject to the offering at an aggregate amount of approximately $10 million at $32.00 per share.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Blockchain Stock is a new class of equity security that trades exclusively on the Company’s ATS, allowing for trading 24 hours per day, 7 days per week. The Blockchain Stock provides the ability for holders to lend their stock transparently and utilize cross-asset collateralization through DeFi protocols. The offering served as the foundational launch of OPEN.</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Share Repurchase Program</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On February 25, 2026, the Company’s Board of Directors authorized a share repurchase program under which the Company may repurchase up to $200 million of its Class A and Blockchain common stock over the next 12 months subject to market conditions, contractual restrictions and other factors.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Repurchases under the program may be made from time to time in the open market, through privately negotiated transactions, accelerated share repurchase transactions, or by other means in accordance with applicable securities laws and regulations. The timing, number of shares repurchased, and prices paid will depend on market conditions, share price, trading volume, corporate considerations, and other factors. Open market repurchases will be structured to occur within the pricing and volume requirements of Rule 10b-18. The Company may also, from time to time, enter into Rule 10b5-1 plans to facilitate repurchases of its shares under this authorization.</w:t>
        <w:br/>
        <w:br/>
        <w:t>This program does not obligate the Company to acquire any particular amount of stock and the program may be extended, modified, suspended or discontinued at any time at the Company’s discretion.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Available Information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website address is www.figure.com. In addition to the information about us and our subsidiaries contained in this Annual Report, information about us can be found on our website. Our website and information included in or linked to our website are not part of this Annual Report. We are subject to the informational requirements of the Exchange Act, and, accordingly, file reports, proxy statements and other information with the Securities and Exchange Commission, or SEC. The SEC maintains a website (http://www.sec.gov) that contains material regarding issuers that file electronically, such as ourselves, with the SEC. We make available free of charge on our website our Annual Reports on Form 10-K, Quarterly Reports on Form 10-Q, Current Reports on Form 8-K and amendments to those reports filed or furnished pursuant to Section 13(a) or 15(d) of the Exchange Act, as soon as reasonably practicable after we electronically file such material with, or furnish it to, the SEC.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180"/>
        <w:jc w:val="left"/>
        <w:rPr/>
      </w:pPr>
      <w:hyperlink w:anchor="i8e13d1b6f3764394b0e424082d2ac79f_7">
        <w:r>
          <w:rPr>
            <w:rStyle w:val="InternetLink"/>
            <w:rFonts w:ascii="Times New Roman;serif" w:hAnsi="Times New Roman;serif"/>
            <w:b w:val="false"/>
            <w:color w:val="000080"/>
            <w:sz w:val="20"/>
            <w:u w:val="single"/>
          </w:rPr>
          <w:t>Table of Content</w:t>
        </w:r>
      </w:hyperlink>
      <w:hyperlink w:anchor="i8e13d1b6f3764394b0e424082d2ac79f_7">
        <w:r>
          <w:rPr>
            <w:rStyle w:val="InternetLink"/>
            <w:rFonts w:ascii="Times New Roman;serif" w:hAnsi="Times New Roman;serif"/>
            <w:b w:val="false"/>
            <w:color w:val="000080"/>
            <w:sz w:val="20"/>
            <w:u w:val="single"/>
          </w:rPr>
          <w:t>s</w:t>
        </w:r>
      </w:hyperlink>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 xml:space="preserve">Investing in our Class A common stock or Blockchain Stock involves a high degree of risk. Before making an investment decision, you should carefully consider the risks and uncertainties described below, together with all of the other information in this Form 10-K, including the section titled “Management's Discussion and Analysis of Financial Condition and Results of Operations” and our Consolidated Financial Statements and related notes thereto included elsewhere in this Form 10-K. If any of the risks actually occur, our business, results of operations, financial condition, and prospects could be adversely affected. In that event, the market price of our Class A common stock or Blockchain Stock could decline, and you could lose part or all of your investment.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Business, Financial, and Operational Risks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have a history of losses, we may not be able to maintain profitability in the future, and there is no assurance that our revenue and business model will be successful.</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have a history of net losses. We expect our costs will increase over time, and while we had net income of $134 million and $20 million for the years ended December 31, 2025 and 2024, respectively, we may generate losses in the future as we invest significant additional funds towards growing our business and operating as a public company. Such losses may fluctuate significantly from quarter to quarter.</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have expended and expect to continue to expend substantial financial and other resources on product development, including investments in our product, engineering, data, and design teams and the development of new products and new functionality for our existing products and our platform; our technology infrastructure, including systems architecture, management tools, scalability, availability, performance, security, and disaster recovery measures; our sales, marketing, and partner management organizations; acquisitions or strategic investments; and general administration, including legal and accounting expenses. These efforts may be more costly than we expect and may not result in increased revenue or growth in our business.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Any failure to increase our revenue sufficiently to keep pace with our investments and other expenses could prevent us from achieving or maintaining profitability or positive cash flows on a consistent basis. If we are unable to successfully address these risks and challenges as we encounter them, our business, financial condition, and results of operations could be adversely affected.</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If we fail to effectively manage our growth, our business, financial condition, and results of operations could be adversely affected.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have grown rapidly since our inception and expect to continue to experience rapid growth in the future. This growth has placed, and may continue to place, significant demands on our management and our operational and financial infrastructure. We have made, and intend to continue to make, substantial investments in our technology, customer service, risk, sales, and marketing infrastructure. Our ability to manage our growth effectively and to integrate new technologies, personnel, and strategic acquisitions and priorities into our existing business will require us to continue to expand our operational and financial infrastructure and retain, attract, train, motivate, and manage key employees. Continued growth could strain our ability to develop and improve our operational, financial, and management controls, enhance our reporting systems and procedures, recruit, train, and retain highly skilled personnel, and maintain customer and brand satisfaction.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Additionally, if we do not effectively manage the growth of our business and operations, the quality of our platform and the efficiency of our operations could suffer, which could adversely affect our growth, business, financial condition, and results of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revenue growth rate and financial performance in prior years may not be indicative of future performance.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have grown rapidly in the past, and our historical revenue growth rate and financial performance may not be indicative of our future performance. Our revenue for any previous quarterly or annual periods should not be relied upon as an indication of our revenue or revenue growth in future periods. Our future growth will be impacted by, among other things: adverse macroeconomic conditions; changing interest rates; our ability to deploy alternative loan products, including in response to changing conditions in the HELOC market; market acceptance of our online lending products, including our HELOC product, digital assets-secured personal loan product, and new product offerings; our ability to meet demand for funding; sales of loans held on our balance sheet at a loss; our ability to successfully finance and sell our loans; growth in our network of partners; increasing competition; credit market volatility; increasing regulatory costs and challenges; prices of digital assets and volume of transactions conducted on Figure Exchange; and our failure to capitalize on growth opportunities.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180"/>
        <w:jc w:val="left"/>
        <w:rPr/>
      </w:pPr>
      <w:hyperlink w:anchor="i8e13d1b6f3764394b0e424082d2ac79f_7">
        <w:r>
          <w:rPr>
            <w:rStyle w:val="InternetLink"/>
            <w:rFonts w:ascii="Times New Roman;serif" w:hAnsi="Times New Roman;serif"/>
            <w:b w:val="false"/>
            <w:color w:val="000080"/>
            <w:sz w:val="20"/>
            <w:u w:val="single"/>
          </w:rPr>
          <w:t>Table of Content</w:t>
        </w:r>
      </w:hyperlink>
      <w:hyperlink w:anchor="i8e13d1b6f3764394b0e424082d2ac79f_7">
        <w:r>
          <w:rPr>
            <w:rStyle w:val="InternetLink"/>
            <w:rFonts w:ascii="Times New Roman;serif" w:hAnsi="Times New Roman;serif"/>
            <w:b w:val="false"/>
            <w:color w:val="000080"/>
            <w:sz w:val="20"/>
            <w:u w:val="single"/>
          </w:rPr>
          <w:t>s</w:t>
        </w:r>
      </w:hyperlink>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limited operating history makes it difficult to evaluate our current business and prospects and may increase the risk of your investment.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have experienced rapid growth in recent years. Our limited operating history may make it difficult to evaluate our business and prospects, including our ability to plan for and model future growth. We face numerous challenges to our success, including our ability to:</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accurately forecast our revenue or volume, and to plan our operating expenses;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develop and maintain a scalable, high-performance technology infrastructure that can efficiently and reliably process an increased number of HELOC originations and other product offerings, as well as the deployment of new features and services;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maintain or increase the volume of HELOC originations and other product offerings, such as our digital assets-secured personal loan product, enabled through our platform;</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enter into and maintain existing relationships with our network of partners;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successfully attract new customers to our platform;</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successfully identify, negotiate, execute, and integrate strategic acquisitions and partnerships;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successfully compete with current and future competitors;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successfully build our brand and protect our reputation from negative publicity;</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increase the effectiveness of our marketing strategies;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successfully adjust our proprietary technology, products, and services in a timely manner in response to changing macroeconomic conditions and fluctuations in the credit market;</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successfully introduce new products and services;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adapt to rapidly evolving trends in the way our consumers and our network of partners interact with technology;</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comply with and successfully adapt to complex and evolving regulatory environments;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protect against fraud and online theft;</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avoid interruptions or disruptions in our service;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effectively secure and maintain the confidentiality of the information received, accessed, stored, provided, used, and otherwise processed across our systems and our third-party vendors;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successfully obtain and maintain funding and liquidity to support continued growth and general corporate purposes;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attract, integrate, and retain qualified employees;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effectively manage growth in our personnel and operations.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also face risks from the underperformance of any assets we have originated and/or serviced to date, which include HELOCs, personal loans, student loans, and closed-end mortgages, as well as risks from the future underperformance of any assets we originate. In addition, the price of digital assets and associated demand for buying, selling, and trading digital assets have historically been subject to significant volatility. There is no assurance that any supported digital asset will maintain its value or that there will be meaningful levels of trading activity.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If we fail to address the risks and difficulties that we face, including those associated with the challenges listed above as well as those described elsewhere in this “Risk Factors” section, our business, financial condition, and results of operations could be adversely affected. Further, because we have limited historical financial data and operate in a rapidly evolving market, any predictions about our future revenue and expenses may not be as accurate as they would be if we had a longer operating history or operated in a more predictable market. Our inability to accurately evaluate our business and prospects could adversely affect our business,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180"/>
        <w:jc w:val="left"/>
        <w:rPr/>
      </w:pPr>
      <w:hyperlink w:anchor="i8e13d1b6f3764394b0e424082d2ac79f_7">
        <w:r>
          <w:rPr>
            <w:rStyle w:val="InternetLink"/>
            <w:rFonts w:ascii="Times New Roman;serif" w:hAnsi="Times New Roman;serif"/>
            <w:b w:val="false"/>
            <w:color w:val="000080"/>
            <w:sz w:val="20"/>
            <w:u w:val="single"/>
          </w:rPr>
          <w:t>Table of Content</w:t>
        </w:r>
      </w:hyperlink>
      <w:hyperlink w:anchor="i8e13d1b6f3764394b0e424082d2ac79f_7">
        <w:r>
          <w:rPr>
            <w:rStyle w:val="InternetLink"/>
            <w:rFonts w:ascii="Times New Roman;serif" w:hAnsi="Times New Roman;serif"/>
            <w:b w:val="false"/>
            <w:color w:val="000080"/>
            <w:sz w:val="20"/>
            <w:u w:val="single"/>
          </w:rPr>
          <w:t>s</w:t>
        </w:r>
      </w:hyperlink>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Substantially all of our revenue is derived from our HELOC product, and we are thus particularly susceptible to fluctuations in the HELOC market. Our current product offerings may also not be sufficiently broad to attract and retain partners.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While we plan to continue to invest in developing additional loan product offerings, the vast majority of our revenue is currently derived from our HELOC product. A wide variety of factors could impact the market for HELOCs, including macroeconomic conditions, competition, regulatory developments, and other developments in the credit market. Our success will depend in part on the continued demand for HELOCs, and if such demand does not experience further growth or grows more slowly than we expect, our business, financial condition, and results of operations could be adversely affected.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addition, our partners may in the future seek commercial relationships with competitors that are able to offer them a broader array of credit products. Over time, in order to preserve and expand our relationships with our existing partners and expand our network of partners, it may become increasingly important for us to be able to offer a wider variety of products than we currently provide. We are also susceptible to competitors that may be able to provide more competitive pricing than we can, or intentionally underprice their loan products, even if such pricing practices lead to losses. Such practices by competitors would negatively affect the overall demand for HELOCs facilitated by our technology.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Failure to accurately predict demand or growth with respect to our existing and new product offerings could adversely affect our business, financial condition, and results of operations. Moreover, our existing or new product offerings may be less profitable than we expect, increase our costs, decrease our operating margins, or take longer than anticipated to achieve target margins. Further, our development efforts with respect to new product offerings could distract management from current operations and could divert capital and other resources from our existing business. In addition, the profile of potential borrowers using our new product offerings may not be as attractive as the profile of the borrowers that we currently serve, which may lead to higher levels of delinquencies or defaults than we have historically experienced. If we do not realize the expected benefits of our investments, our business, financial condition, and results of operations could be adversely affected.</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success and ability to develop our lending business depend on retaining and expanding our reach through both our Figure-branded and Partner-branded strategies. If we or our partners fail to add new customers, our business, financial condition, and results of operations could be adversely affected.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current model for our lending business is primarily based on our ability to enable our partners to originate, and our borrowers to obtain, HELOCs using our technology in a seamless, timely, and hassle-free transaction that funds quickly. We have experienced significant growth in recent years; however, we may not be able to continue to grow our business, and our network of partners and our consumer base could shrink over time.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ability to attract borrowers, and in turn attract partners to offer our products to their customers, depends, in large part, on our ability to continue to provide, and be perceived as providing, seamless and superior customer experiences and expeditious funding. In order to maintain this ability and perception, we may be required to incur costs related to improving our platform capabilities and customer service, increasing our marketing and advertising spend, as well as reducing the interest rates on our loan products either more or more quickly than our competitors, any of which could result in lower revenues or lower profitability.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may not be able to promote awareness of our Figure-branded products and achieve widespread market acceptance of our business model to increase access to our platform. We have incurred significant expenses on and devoted considerable resources to branding and marketing activities and user traffic acquisition, and we may continue to do so in the future. If any of our marketing channels become less effective, or if the cost of these channels were to significantly increase, we may not be able to attract new borrowers in a cost-effective manner or convert prospective borrowers into borrowers. Additionally, changes in the way third-party platforms operate, including changes in our participation on such platforms, could make the maintenance and promotion of our products and services more expensive or more difficult. Further, there is no assurance that any of these actions will achieve their desired effect. If we fail to remain competitive on customer experience or pricing, our business, financial condition, and results of operations could be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180"/>
        <w:jc w:val="left"/>
        <w:rPr/>
      </w:pPr>
      <w:hyperlink w:anchor="i8e13d1b6f3764394b0e424082d2ac79f_7">
        <w:r>
          <w:rPr>
            <w:rStyle w:val="InternetLink"/>
            <w:rFonts w:ascii="Times New Roman;serif" w:hAnsi="Times New Roman;serif"/>
            <w:b w:val="false"/>
            <w:color w:val="000080"/>
            <w:sz w:val="20"/>
            <w:u w:val="single"/>
          </w:rPr>
          <w:t>Table of Content</w:t>
        </w:r>
      </w:hyperlink>
      <w:hyperlink w:anchor="i8e13d1b6f3764394b0e424082d2ac79f_7">
        <w:r>
          <w:rPr>
            <w:rStyle w:val="InternetLink"/>
            <w:rFonts w:ascii="Times New Roman;serif" w:hAnsi="Times New Roman;serif"/>
            <w:b w:val="false"/>
            <w:color w:val="000080"/>
            <w:sz w:val="20"/>
            <w:u w:val="single"/>
          </w:rPr>
          <w:t>s</w:t>
        </w:r>
      </w:hyperlink>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business depends, in part, on the success of our Partner-branded strategies and our network of partners being able to deliver our products, and our ability to grow our business depends on our ability to continue our relationships with our network of partners.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are dependent upon our partners and their use of our Partner-branded offerings. If we are not able to retain our existing partners or expand our network of partners in a cost-effective manner, or if our partners fail to maintain their utilization of our products and services, we will not be able to continue to grow our business. Our ability to retain and grow our relationships with our partners depends on their willingness to work with us. The attractiveness of our platform to partners depends upon, among other things: our brand and reputation, the amount of fees that we charge, our ability to adapt to our customers’ needs and implement technological changes, our ability to sustain our value proposition to our partners, products and services offered by competitors, and our ability to perform under and maintain our agreements with partners. Our partners do not have any long-term contractual financial commitments to us, and there are de minimis fixed fees in our contracts with partners. Therefore, our partners may cease their use of our platform at any time without incurring any material termination charges.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Further, any downturn in the financial services industry, a disruption or significant change in the capital markets, including government-sponsored enterprise involvement in the purchase and securitization of similar lending products, or change in interest rates may cause our partners to end or reduce their relationship with us. Our partners have no obligation to use our platform and generally only pay us when they use it. As a result, our partners may, at any time, seek to renegotiate pricing or other contract terms that are less favorable to us or otherwise ask to modify their agreement terms in a manner that is cost prohibitive to us. Our relationships with partners may decline or fluctuate as a result of a number of factors, including the attractiveness of our products to their customers, the value of originating products on our platform compared to the origination of other similar products, their satisfaction with our pricing or our platform, or their ability to continue their operations or spending levels. In addition, our partners’ regulators may require that they terminate or otherwise limit their business with us, or impose regulatory pressure limiting their ability to do business with us. If any of our partners were to stop working with us, suspend, limit, or cease their operations, successfully renegotiate less favorable pricing terms with us, or otherwise terminate their relationships with us, the number of loans and other transactions enabled through our platform could decrease and our business, financial condition, and results of operations could be adversely affected.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could in the future have disagreements or disputes with any of our partners, which could negatively impact or threaten our relationship with them. In our agreements with partners, we make representations, warranties, and covenants concerning our compliance with certain procedures and guidelines related to laws and regulations applicable to the services to be provided by us to our partners. If those representations and warranties are not accurate when made or if we fail to perform a covenant, we may be liable for any resulting damages, including potentially any losses associated with impacted transactions, and our reputation and ability to continue to attract partners could be adversely affected. Additionally, our partners may engage in mergers, acquisitions, or consolidations with each other, our competitors, or third parties, any of which could be disruptive to our existing and prospective partner relationships.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If we are unable to maintain existing relationships partners and develop new customer relationships with financial institutions to expand our network of partners for any reason, our business, financial condition, and results of operations could be adversely affected.</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have significant partner concentration, with a limited number of partners accounting for a substantial portion of our loan originations.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derive a significant portion of our loan origination volume from our major partners. Our top 10 partners contributed 56% and 52% of our origination volume for the years ended December 31, 2025 and 2024, respectively. Relying heavily on a limited number of partners for a large percentage of total loan origination presents inherent risks. We cannot predict the future volume of loan originations from these partners. If any of our largest partners reduce their loan origination volume or terminate their relationship with us, it could materially and negatively impact our revenues, results of operations, and financial condition. To mitigate these risks, we are actively working to expand our partner base and reduce reliance on a few significant partners. However, there is no assurance of success in these efforts, and our financial performance may continue to be significantly influenced by our major partners.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180"/>
        <w:jc w:val="left"/>
        <w:rPr/>
      </w:pPr>
      <w:hyperlink w:anchor="i8e13d1b6f3764394b0e424082d2ac79f_7">
        <w:r>
          <w:rPr>
            <w:rStyle w:val="InternetLink"/>
            <w:rFonts w:ascii="Times New Roman;serif" w:hAnsi="Times New Roman;serif"/>
            <w:b w:val="false"/>
            <w:color w:val="000080"/>
            <w:sz w:val="20"/>
            <w:u w:val="single"/>
          </w:rPr>
          <w:t>Table of Content</w:t>
        </w:r>
      </w:hyperlink>
      <w:hyperlink w:anchor="i8e13d1b6f3764394b0e424082d2ac79f_7">
        <w:r>
          <w:rPr>
            <w:rStyle w:val="InternetLink"/>
            <w:rFonts w:ascii="Times New Roman;serif" w:hAnsi="Times New Roman;serif"/>
            <w:b w:val="false"/>
            <w:color w:val="000080"/>
            <w:sz w:val="20"/>
            <w:u w:val="single"/>
          </w:rPr>
          <w:t>s</w:t>
        </w:r>
      </w:hyperlink>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growth depends, in part, on the success of our strategic relationships to attract potential customers for our HELOC products on other products, and our ability to grow our business depends on our ability to continue these relationships.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depend on a number of strategic relationships to attract additional customers to our products. For example, through a number of strategic relationships, we purchase leads or otherwise advertise (e.g., on the provider’s website and/or via e-mail, or in the provider’s retail stores), on a non-exclusive basis, to consumers who may view the content and/or be customers of the lead or advertising platform providers. In some cases, we may offer consumers incentives to obtain HELOCs from us based on the consumers’ status as an enrollee or customer of a particular advertising platform. These incentives include gift cards to major retailers, offered to consumers upon the completion of specific tasks, such as securing a funded loan or completing a survey. These gift cards have no cash value and are not redeemable for interests in our Company or our affiliates. These incentives fall outside the scope of Section 8 of RESPA, which regulates payments in exchange for referrals. The gift cards are a benefit solely to the consumer and have the effect of reducing the cost of credit. Because we provide the gift cards unilaterally and not in exchange for or in anticipation of referrals, and no third party receives anything of value for influencing a consumer’s choice of settlement service provider, such practices do not constitute a violation of RESPA.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Identifying strategic partners, and negotiating and documenting relationships with them, requires significant time and resources. In addition, there is significant competition to develop relationships with these strategic partners, and our competitors may be effective in providing incentives to favor their products or platforms or to prevent or reduce our ability to advertise our offerings and our platform to consumers. If we are unsuccessful in maintaining our relationships with strategic partners and identifying new strategic partners and establishing relationships with them in a timely manner, our ability to compete in the marketplace or to grow our revenue could be impaired and our results of operations may be materially and adversely affected. Additionally, certain of our relationships may require extensive time and resources to establish and, once established, would require time and resources to terminate and unwind. To minimize any disruption associated with such a termination, certain of our relationships include transition service and wind-down periods. We cannot guarantee we will be successful in establishing these relationships or, if necessary, terminating and unwinding these relationships, and establishing or terminating these relationships could require substantial time and attention from our management team. Additionally, we cannot assure you that we will be able to successfully replace a terminated relationship with a new relationship. If we are unable to effectively manage our strategic partner relationships, this could materially and adversely affect our business, financial condition, and results of operations.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are also subject to legal and regulatory risks associated with these relationships, including changes in law or interpretations of law that could result in increased scrutiny of these relationships, require restructuring of these relationships, and/or diminish the value of these relationships.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If we do not compete effectively in our target markets, our business, financial condition, and results of operations could be adversely affected.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consumer lending market is highly competitive and increasingly dynamic as emerging technologies continue to enter into the lending ecosystem. With the introduction of new technologies and the influx of new entrants, competition may persist and intensify in the future, which could have an adverse effect on our business, financial condition, and results of operations.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inability to compete effectively could result in reduced loan volumes, reduced average size of loans facilitated on our platform, reduced fees, increased marketing and customer acquisition costs, or the failure of our platform to achieve or maintain more widespread market acceptance, any of which could adversely affect our business, financial condition, and results of operations.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Consumer lending is a vast and competitive market, and we compete to varying degrees with all other sources of consumer credit, which can include banks, non-bank lenders, including retail-based lenders, and other financial technology lending platforms. Although HELOCs often have more attractive interest rates than credit card debt, we compete with the convenience and ubiquity that credit cards represent. Many of our competitors operate with different business models, have different funding sources, have different cost structures or regulatory obligations, or participate selectively in different market segments. They may ultimately prove more successful or more adaptable to new regulatory, economic, technological, and other developments, including utilizing new data sources or credit models.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180"/>
        <w:jc w:val="left"/>
        <w:rPr/>
      </w:pPr>
      <w:hyperlink w:anchor="i8e13d1b6f3764394b0e424082d2ac79f_7">
        <w:r>
          <w:rPr>
            <w:rStyle w:val="InternetLink"/>
            <w:rFonts w:ascii="Times New Roman;serif" w:hAnsi="Times New Roman;serif"/>
            <w:b w:val="false"/>
            <w:color w:val="000080"/>
            <w:sz w:val="20"/>
            <w:u w:val="single"/>
          </w:rPr>
          <w:t>Table of Content</w:t>
        </w:r>
      </w:hyperlink>
      <w:hyperlink w:anchor="i8e13d1b6f3764394b0e424082d2ac79f_7">
        <w:r>
          <w:rPr>
            <w:rStyle w:val="InternetLink"/>
            <w:rFonts w:ascii="Times New Roman;serif" w:hAnsi="Times New Roman;serif"/>
            <w:b w:val="false"/>
            <w:color w:val="000080"/>
            <w:sz w:val="20"/>
            <w:u w:val="single"/>
          </w:rPr>
          <w: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may also face competition from banks or companies that have not previously competed in the consumer lending market, including companies with access to vast amounts of consumer-related information that could be used in the development of their own credit risk models. Our current or potential competitors may be better at developing new products due to their large and experienced data science and engineering teams, who are able to respond more quickly to new technologies. Many of our current or potential competitors have significantly more resources, such as financial, technical, and marketing resources, than we do and may be able to devote greater resources to the development, promotion, sale, and support of their platforms and distribution channels.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face competition in areas such as compliance capabilities, commercial financing terms, costs of capital, interest rates, fees (and other financing terms) available to our partners’ customers, approval rates, model efficiency, speed, simplicity of loan origination, ease-of-use, marketing expertise, service levels, products and services, technological capabilities and integration, customer experience, brand and reputation, and terms available to our base of loan purchasers on the secondary market. Our competitors may also have longer operating histories, lower commercial financing costs or costs of capital, more extensive customer bases, more diversified products and customer bases, operational efficiencies, more versatile or extensive technology platforms, greater brand recognition and brand loyalty, broader customer relationships in Figure-branded and Partner-branded channels, more extensive and/or more diversified base of loan purchasers on the secondary market than we have, greater capacity to fund loans through their balance sheets, and more products and services than we have. Furthermore, our existing and potential competitors may decide to modify their pricing and business models to compete more directly with us. Our ability to compete will also be affected by our ability to provide our partners with a commensurate or more extensive suite of loan technologies than those offered by our competitors. In addition, current or potential competitors, including financial technology lending platforms and existing or potential partners, may also acquire or form strategic alliances with one another, which could result in our competitors being able to offer more competitive loan terms due to their access to lower-cost capital. Such acquisitions or strategic alliances among our competitors or potential competitors could also make our competitors more adaptable to a rapidly evolving regulatory environment.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To remain competitive, we may need to increase our regulatory compliance expenditures or our ability to compete could be adversely affected.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addition, the digital asset industry is highly innovative, rapidly evolving, and characterized by significant competition, experimentation, changing customer needs, frequent introductions of new products and services, and subject to uncertain and evolving industry and regulatory requirements. We expect competition for Figure Exchange to further intensify in the future as existing and new competitors introduce new products or enhance existing products. We compete against a number of companies operating both within the United States and abroad, and both those that focus on traditional financial services and those that focus on digital asset-based services. Our current and contemplated competitors fall into the following categories: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companies focused on the digital asset market, including (i) direct competitors with Figure Exchange who are also required to adhere to the same or similar local regulations as us and (ii) competitors who are not subject to or do not adhere to the same local rules and regulations as us or who operate in jurisdictions with less stringent local rules and regulations. As a result, many of our competitors are potentially able to more quickly adapt to trends, support a greater number of digital assets, and develop new digital asset-based products and services due to their different standard of regulatory compliance or scrutiny;</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traditional financial technology and brokerage firms that have entered the digital asset market in recent years and offer overlapping features targeted at our customers;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digital asset-focused companies and traditional financial incumbents that offer point or siloed solutions specifically targeted at institutional customers.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Further, certain existing and/or future regulatory changes in the current administration may encourage more favorable federal regulatory environment for digital assets, which may encourage more traditional financial institutions to enter the digital asset industry. Such financial institutions may have significantly greater financial, technical, marketing and other resources than we do, which may allow them to more efficiently identify and capitalize upon opportunities and trends, transition and adapt their products and services, and devote greater resources to marketing and advertising, all of which could adversely affect our ability to compete effectively.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As noted above, our competition to date for Figure Exchange includes companies, in particular those located outside the United States, who are not required to or do not comply with the same regulatory compliance standards as us or who are subject to significantly less stringent regulatory and compliance requirements in their local jurisdictions, as well as DeFi protocols, each of which also may be subject to less stringent regulatory and compliance requirements, or none at all.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180"/>
        <w:jc w:val="left"/>
        <w:rPr/>
      </w:pPr>
      <w:hyperlink w:anchor="i8e13d1b6f3764394b0e424082d2ac79f_7">
        <w:r>
          <w:rPr>
            <w:rStyle w:val="InternetLink"/>
            <w:rFonts w:ascii="Times New Roman;serif" w:hAnsi="Times New Roman;serif"/>
            <w:b w:val="false"/>
            <w:color w:val="000080"/>
            <w:sz w:val="20"/>
            <w:u w:val="single"/>
          </w:rPr>
          <w:t>Table of Content</w:t>
        </w:r>
      </w:hyperlink>
      <w:hyperlink w:anchor="i8e13d1b6f3764394b0e424082d2ac79f_7">
        <w:r>
          <w:rPr>
            <w:rStyle w:val="InternetLink"/>
            <w:rFonts w:ascii="Times New Roman;serif" w:hAnsi="Times New Roman;serif"/>
            <w:b w:val="false"/>
            <w:color w:val="000080"/>
            <w:sz w:val="20"/>
            <w:u w:val="single"/>
          </w:rPr>
          <w: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business models of such competitors rely on or benefit from being unregulated or only regulated in a small number of lower compliance jurisdictions, whilst also offering their products in highly regulated jurisdictions, including the United States, without necessarily complying with the relevant regulatory requirements in such jurisdictions.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To date, and although there have been a small number of enforcement actions by U.S. and foreign regulators against such offshore platforms, developers of DeFi protocols, many of these competitors have been able to operate from offshore while offering large numbers of products and services to consumers, including in the United States, Europe, and other highly regulated jurisdictions, without complying with the relevant licensing and other requirements in these jurisdictions, and seemingly without penalty. Due to our regulated status in several jurisdictions and our commitment to legal and regulatory compliance, we have not been able to offer many popular products and services, including products and services that our unregulated or less regulated competitors are able to offer to a group that includes many of our customers, or expand our offerings to new jurisdictions where we are currently not allowed to offer products, which may adversely impact our business, financial condition, and results of operations.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recent years, we have also expended significant managerial, operational, and compliance costs to meet the legal and regulatory requirements applicable to us in the United States and other jurisdictions in which we operate. Such costs have increased as we expanded our products and services that we offer. We expect to continue to incur significant costs to satisfy our legal and compliance obligations, which our unregulated or less regulated competitors have not had to and will not incur.</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Additionally, due to the broad nature of our products and services, we also compete with, and expect additional competition from, digital and mobile payment companies and other traditional financial services companies.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Many innovative start-up companies and larger companies have made, and continue to make, significant investments in research and development in digital asset markets, and we expect these companies to continue to develop similar or superior products and technologies that compete with Figure Exchange. Further, more traditional financial and non-financial services businesses may choose to offer digital asset-based services in the future as the industry gains adoption. Our current and potential competitors may establish cooperative relationships among themselves or with third parties that may further enhance their resources.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existing competitors for Figure Exchange have, and our potential competitors are expected to have, various competitive advantages over us, such as: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ability to offer products and services globally. Incumbents were able to operate while jurisdictions worked to develop local legislation and had the resources to pursue licenses around the globe simultaneously;</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ability to offer certain products and services that we do not support or offer on our platform (due to constraints from regulatory authorities, our banking partners, and other factors) such as tokens that constitute securities or derivative instruments under U.S. or foreign laws;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greater name recognition, longer operating histories, larger customer bases, and larger market shares;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larger sales and marketing budgets and organizations;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more established marketing, banking, financial, and compliance relationships;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greater customer support resources;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greater resources to make acquisitions;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larger and more mature intellectual property portfolios;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greater number of applicable licenses or similar authorizations;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operations in certain jurisdictions with lower compliance costs and greater flexibility to explore new product offerings.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If we are unable to compete successfully, or if competing successfully requires us to take costly actions in response to the actions of our competitors, our business, financial condition, and results of operations could be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180"/>
        <w:jc w:val="left"/>
        <w:rPr/>
      </w:pPr>
      <w:hyperlink w:anchor="i8e13d1b6f3764394b0e424082d2ac79f_7">
        <w:r>
          <w:rPr>
            <w:rStyle w:val="InternetLink"/>
            <w:rFonts w:ascii="Times New Roman;serif" w:hAnsi="Times New Roman;serif"/>
            <w:b w:val="false"/>
            <w:color w:val="000080"/>
            <w:sz w:val="20"/>
            <w:u w:val="single"/>
          </w:rPr>
          <w:t>Table of Content</w:t>
        </w:r>
      </w:hyperlink>
      <w:hyperlink w:anchor="i8e13d1b6f3764394b0e424082d2ac79f_7">
        <w:r>
          <w:rPr>
            <w:rStyle w:val="InternetLink"/>
            <w:rFonts w:ascii="Times New Roman;serif" w:hAnsi="Times New Roman;serif"/>
            <w:b w:val="false"/>
            <w:color w:val="000080"/>
            <w:sz w:val="20"/>
            <w:u w:val="single"/>
          </w:rPr>
          <w:t>s</w:t>
        </w:r>
      </w:hyperlink>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expect to introduce and develop new products and services, and if these products or services are not successful or we are unable to manage the related risks, our business, financial condition, and results of operations could be adversely affected.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are continuing to invest in the development of new products and services. For example, we launched Figure Exchange in March 2024, Figure Connect in June 2024, YLDS in February 2025, Democratized Prime in June 2025, and OPEN in February 2026. New initiatives are inherently unpredictable and risky, as each involves unproven business strategies, new regulatory requirements, and new financial products and services with which we, and in some cases our customers, may have limited or no prior development or operating experience.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cannot be sure that we will be able to develop, commercially market, and achieve market acceptance of any new products and services, including Figure Exchange, Figure Connect, YLDS, Democratized Prime, and OPEN. In addition, our investment of resources to develop new products and services may either be insufficient or result in expenses that are excessive in light of revenue actually derived from these new products and services. It is also possible that such investment of resources may need to be delayed or deferred.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Furthermore, failure to accurately predict demand or growth with respect to our new products and services could have an adverse impact on our reputation and business, and our new products and services may be less profitable than we expect, increase our costs, decrease our operating margins, or take longer than anticipated to achieve target margins. For example, if the profile of borrowers using any new products and services is different from that of those currently served by our HELOC product or other loan products, our proprietary algorithms may not be able to accurately evaluate the credit risk of such borrowers, and our partners and loan purchasers in our loan funding programs may in turn experience higher levels of delinquencies or defaults.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addition, our recently launched products Figure Connect, Figure Exchange, YLDS, Democratized Prime, and OPEN have increased our regulatory compliance obligations and increased our costs. Any new products or services may raise new and potentially complex regulatory compliance obligations, which would increase our costs and may cause us to change our business in unexpected ways. Further, our development efforts with respect to these initiatives could distract management from current operations and will divert capital and other resources from our existing business.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may also have difficulty with securing adequate funding for any such new loan products and services originated on our platform, and if we are unable to do so, our ability to develop and grow these new offerings and services will be impaired. If we are unable to effectively manage the foregoing risks, our business, financial condition, and results of operations could be adversely affected.</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If we cannot keep pace with rapid digital asset industry changes to provide new and innovative products and services, the use of our products and services, and consequently our net revenue, could decline, which could adversely impact our business, financial condition, and results of operations.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digital asset industry has been characterized by many rapid, significant, and disruptive products and services in recent years. These include decentralized applications, DeFi, yield farming, non-fungible tokens, play-to-earn games, lending, staking, token wrapping, governance tokens, innovative programs to attract customers such as transaction fee mining programs, initiatives to attract traders such as trading competitions, airdrops and giveaways, staking reward programs, “layer 2” blockchain networks, and novel digital asset fundraising and distribution schemes, such as “initial exchange offerings.” We expect new digital asset products, services, and technologies to continue to emerge and evolve, which may be superior to, or render obsolete, the products and services that we currently provide or utilize. For example, disruptive technologies such as generative artificial intelligence (“AI”) may fundamentally alter the use of our products or services in unpredictable ways. We cannot predict the effects of new services and technologies on our business. However, our ability to grow our customer base and net revenue will depend heavily on our ability to innovate and create successful new products and services, both independently and in conjunction with third-party developers. In particular, developing and incorporating new products and services into our business may require substantial expenditures, take considerable time, and ultimately may not be successful. Any new products or services could fail to attract customers, generate revenue, or perform or integrate well with third-party applications and platforms. In addition, our ability to adapt and compete with new products and services may be inhibited by regulatory requirements and general uncertainty in the law and regulatory expectations, constraints by our banking partners and payment processors, third-party intellectual property rights, or other factors. Moreover, we must continue to enhance our technical infrastructure and other technology offerings to remain competitive and maintain a platform that has the required functionality, performance, capacity, security, and speed to attract and retain customers, including large, institutional, high-frequency, and high-volume traders. As a result, we expect to incur significant costs and expenses to develop and upgrade our technical infrastructure to meet the evolving needs of the industry. Our success will depend on our ability to develop and incorporate new offerings and adapt to technological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180"/>
        <w:jc w:val="left"/>
        <w:rPr/>
      </w:pPr>
      <w:hyperlink w:anchor="i8e13d1b6f3764394b0e424082d2ac79f_7">
        <w:r>
          <w:rPr>
            <w:rStyle w:val="InternetLink"/>
            <w:rFonts w:ascii="Times New Roman;serif" w:hAnsi="Times New Roman;serif"/>
            <w:b w:val="false"/>
            <w:color w:val="000080"/>
            <w:sz w:val="20"/>
            <w:u w:val="single"/>
          </w:rPr>
          <w:t>Table of Content</w:t>
        </w:r>
      </w:hyperlink>
      <w:hyperlink w:anchor="i8e13d1b6f3764394b0e424082d2ac79f_7">
        <w:r>
          <w:rPr>
            <w:rStyle w:val="InternetLink"/>
            <w:rFonts w:ascii="Times New Roman;serif" w:hAnsi="Times New Roman;serif"/>
            <w:b w:val="false"/>
            <w:color w:val="000080"/>
            <w:sz w:val="20"/>
            <w:u w:val="single"/>
          </w:rPr>
          <w: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changes and evolving industry practices. If we are unable to do so in a timely or cost-effective manner, our business and our ability to successfully compete, to retain existing customers, and to attract new customers may be adversely affected.</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Negative publicity and unfavorable media coverage could adversely affect our business, financial condition, and results of operations.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Negative publicity about us, our partners, the financial services technology industry, or the digital assets industry, including with respect to the transparency, fairness, user experience, quality, reliability, and the security of our platform, effectiveness of our credit decisioning or scoring models, effectiveness of our collection efforts, changes to our platform, loss of access to data related to assets and trades recorded on Provenance Blockchain due to causes such as fraudulent or accidental transactions, technology failures or disruptions, security breaches or incidents, our ability to grow our customer base at a rate expected by the market, our ability to effectively manage and resolve customer complaints, our ability to manage customer accounts in compliance with regulatory requirements which may not be clear, our or our partners’ privacy, data and security practices, use of loan proceeds by certain borrowers or other companies in our industry for illegal purposes, litigation, regulatory activity, misconduct by our employees, partners or wholesale brokers, vendors, other service providers, or others in the financial services technology industry, and the experience of our customers or our partners and their customers with our platform or services, even if inaccurate, could adversely affect our reputation and the confidence in, and the use of, our platform, which could harm our reputation and cause disruptions to our platform. Any such reputational harm could further affect the behavior of our customers and partners, including their willingness to use our platform, which could adversely affect our business, financial condition, and results of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rely on our management team and will require additional key personnel to grow our business, and the loss of key management members or key employees, or an inability to hire key personnel, could adversely affect our business, financial condition, and results of operations.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believe our success has depended, and continues to depend, on the efforts and talents of our senior management, who have significant experience in the financial services and technology industries, are responsible for our core competencies, and would be difficult to replace. Our future success depends on our continuing ability to attract, develop, motivate, and retain highly qualified and skilled employees. Qualified individuals are in high demand, and we may incur significant costs to attract and retain them. Our future success will depend, in part, on the ability of our executives and board members that were appointed in connection with the Recombination to quickly expand their knowledge of our operations, which will be critical to their ability to make informed decisions about our business and strategies, particularly given the competitive environment in which we operate. Certain of the companies against which we compete for experienced talent have greater financial and other resources, different risk profiles, longer histories in the industry, and greater ability to provide valuable cash or stock incentives to potential recruits than we do. Competition for this experienced talent is strong and our failure to attract, train, retain, and motivate such additional executives and board members could hinder or delay our strategic planning and execution, as well as adversely affect our ability to attract and retain other experienced and talented employees. The transition of our board of directors and senior management team as a result of the Recombination may compromise our ability to compete effectively.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addition, the loss of any of our senior management or key employees could adversely affect our ability to execute our business plan and strategy, and we may not be able to find adequate replacements on a timely basis, or at all, and our other employees may be required to take on additional responsibilities. Furthermore, many candidates evaluate year-over-year stock growth trends for a sense of the potential long-term value of their proposed stock awards or have recently begun to discount the value of growth stocks on the whole. Volatility in the market price of our Class A common stock and our Blockchain Stock could harm our ability to attract and retain talent. Our executive officers and other employees are at-will employees, which means they may terminate their employment relationship with us at any time, and their knowledge of our business and industry would be extremely difficult to replace. We cannot ensure that we will be able to retain the services of any members of our senior management or other key employees. If we do not succeed in attracting well-qualified employees or retaining and motivating existing employees, our business, financial condition, and results of operations could be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180"/>
        <w:jc w:val="left"/>
        <w:rPr/>
      </w:pPr>
      <w:hyperlink w:anchor="i8e13d1b6f3764394b0e424082d2ac79f_7">
        <w:r>
          <w:rPr>
            <w:rStyle w:val="InternetLink"/>
            <w:rFonts w:ascii="Times New Roman;serif" w:hAnsi="Times New Roman;serif"/>
            <w:b w:val="false"/>
            <w:color w:val="000080"/>
            <w:sz w:val="20"/>
            <w:u w:val="single"/>
          </w:rPr>
          <w:t>Table of Content</w:t>
        </w:r>
      </w:hyperlink>
      <w:hyperlink w:anchor="i8e13d1b6f3764394b0e424082d2ac79f_7">
        <w:r>
          <w:rPr>
            <w:rStyle w:val="InternetLink"/>
            <w:rFonts w:ascii="Times New Roman;serif" w:hAnsi="Times New Roman;serif"/>
            <w:b w:val="false"/>
            <w:color w:val="000080"/>
            <w:sz w:val="20"/>
            <w:u w:val="single"/>
          </w:rPr>
          <w:t>s</w:t>
        </w:r>
      </w:hyperlink>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business is subject to the risks of natural disasters, power outages, telecommunications failures, public health crises and similar events, and to interruptions by human-made problems such as war, terrorism, cyberattacks and other actions, which may impact the demand for our products or our customers’ ability to repay their loans.</w:t>
      </w:r>
    </w:p>
    <w:p>
      <w:pPr>
        <w:pStyle w:val="TextBody"/>
        <w:bidi w:val="0"/>
        <w:spacing w:lineRule="auto" w:line="288" w:before="0" w:after="180"/>
        <w:jc w:val="both"/>
        <w:rPr/>
      </w:pPr>
      <w:r>
        <w:rPr>
          <w:rFonts w:ascii="Times New Roman;serif" w:hAnsi="Times New Roman;serif"/>
          <w:b w:val="false"/>
          <w:color w:val="000000"/>
          <w:sz w:val="20"/>
        </w:rPr>
        <w:t>Events beyond our control may damage our ability to maintain our platform and provide services to our customers. Such events include, but are not limited to, hurricanes, earthquakes, fires, floods, and other natural disasters, pandemics, power outages, telecommunications failures, and similar events. Despite any precautions we may take, system interruptions and delays could occur if there is a natural disaster, if a third-party provider closes a facility we use without adequate notice for financial or other reasons, or if there are other unanticipated problems at our leased facilities. Because we rely heavily on our servers, computer and communications systems, and the internet to conduct our business and provide high-quality service to our customers, disruptions could harm our ability to effectively run our business. Moreover, our customers, including partners, and other service providers face similar risks, which could directly or indirectly impact our business, financial condition, and results of operations. We currently use Google Cloud Platform (“GCP”). While other providers are available, we would be unable to switch instantly to another system in the event of failure to access GCP. This means that an outage of GCP could result in our system being unavailable for a significant period of time. Terrorism, cyberattacks, and other criminal, tortious, or unintentional actions could also give rise to significant disruptions to our operations. In addition, the current and long-term effects of climate change on the global economy and in particular our industry are uncertain; however, we recognize that there are inherent climate-related risks wherever business is conducted. For example, our offices may be vulnerable to the adverse effects of climate change. We are headquartered in New York, New York and have additional offices located in Charlotte, North Carolina, San Francisco, California, and Reno, Nevada, regions that are prone to events such as seismic activity and/or severe weather and that have experienced and may continue to experience climate-related events and at an increasing rate. Examples include drought and water scarcity, warmer temperatures, wildfires, and air quality impacts and power shutoffs associated with wildfire prevention. The increasing intensity of drought throughout California and annual periods of wildfire danger increase the probability of planned power outages.</w:t>
      </w:r>
      <w:r>
        <w:rPr>
          <w:color w:val="000000"/>
        </w:rPr>
        <w:t xml:space="preserve"> </w:t>
      </w:r>
      <w:r>
        <w:rPr>
          <w:rFonts w:ascii="Times New Roman;serif" w:hAnsi="Times New Roman;serif"/>
          <w:b w:val="false"/>
          <w:color w:val="000000"/>
          <w:sz w:val="20"/>
        </w:rPr>
        <w:t>In addition, acts of war and other armed conflicts, disruptions in global trade, travel restrictions, quarantines, terrorism, and other civil, political, and geopolitical unrest could cause disruptions in our business and lead to interruptions, delays, or loss of critical data.</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Although we maintain a disaster response plan and insurance, such events could disrupt our business, the business of our customers or third-party suppliers, and may cause us to experience losses and additional costs to maintain and resume operations. Our business interruption insurance may not be sufficient to compensate us for losses that may result from interruptions in our service as a result of system failures or other disruptions. Comparable natural and other risks may reduce demand for our products or cause our customers to suffer significant losses and/or incur significant disruption in their respective operations, which may affect their ability to satisfy their obligations to us. All of the foregoing could adversely affect our business, financial condition, and results of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The use of blockchain technology in the primary and secondary loan markets is still in relatively early stages of growth, and if these markets do not continue to accept our blockchain-supported platform, or if these markets accept our platform more slowly than we expect, or if the markets for our platform fail to grow as large as we expect, our business, financial condition, and results of operations could be adversely affected.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Use of, and reliance on, blockchain technology in the lending industry is still at an early stage among participants, and we do not know whether financial services firms will continue to use our platform in the future, or whether the primary and secondary loan markets will change in ways we do not anticipate. Many financial services firms have invested substantial personnel and financial resources in legacy software, and these institutions may be reluctant, unwilling, or unable to adapt their existing systems to our platform. Furthermore, these financial services firms may be reluctant, unwilling, or unable to use our software due to various concerns, such as their familiarity with blockchain technology, the security of their data, the reliability of the delivery model, and uncertainty as to the regulatory treatment of blockchain technology. These concerns or other considerations may cause current and prospective counterparties to choose alternative products or firms, which could adversely affect our business, financial condition, and results of operations. Our future success also depends on our ability to sell additional products, services, and functionality to our current and prospective partners, as well as to facilitate distribution of those products effectively into the capital markets. As we create new products and services and enhance our existing products and services, these applications and enhancements may not be attractive to customers, partners, or counterparties, or we may encounter difficulties in achieving interoperability between our new products and services and our existing products and services. In addition, promoting and selling new and enhanced products and platform and processing functionality may require increasingly costly sales and marketing efforts, and if customers and our partners choose not to adopt this functionality, our business, financial condition, and results of operations could be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180"/>
        <w:jc w:val="left"/>
        <w:rPr/>
      </w:pPr>
      <w:hyperlink w:anchor="i8e13d1b6f3764394b0e424082d2ac79f_7">
        <w:r>
          <w:rPr>
            <w:rStyle w:val="InternetLink"/>
            <w:rFonts w:ascii="Times New Roman;serif" w:hAnsi="Times New Roman;serif"/>
            <w:b w:val="false"/>
            <w:color w:val="000080"/>
            <w:sz w:val="20"/>
            <w:u w:val="single"/>
          </w:rPr>
          <w:t>Table of Content</w:t>
        </w:r>
      </w:hyperlink>
      <w:hyperlink w:anchor="i8e13d1b6f3764394b0e424082d2ac79f_7">
        <w:r>
          <w:rPr>
            <w:rStyle w:val="InternetLink"/>
            <w:rFonts w:ascii="Times New Roman;serif" w:hAnsi="Times New Roman;serif"/>
            <w:b w:val="false"/>
            <w:color w:val="000080"/>
            <w:sz w:val="20"/>
            <w:u w:val="single"/>
          </w:rPr>
          <w:t>s</w:t>
        </w:r>
      </w:hyperlink>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The future development and growth of the digital asset market is subject to a variety of factors that are difficult to predict and evaluate. If the digital asset market does not grow as we expect, our business, financial condition, and results of operations could be adversely affected.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Digital assets built on blockchain technology were only introduced in 2008 and remain in the early stages of development. Digital assets are a new asset class that, as of yet, have not been widely adopted, particularly by institutional investors and corporate securities issuers. Figure Exchange will rely on the acceptance and use by such investors and issuers of digital assets to create demand for our products and services. Though we believe that the anticipated benefits of digital assets will create such demand, there can be no assurance that this will occur, or if it does occur, that it will be in the near term.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addition, different digital assets and digital asset networks are designed for different purposes. Bitcoin, for instance, was designed to serve as a peer-to-peer electronic cash system, while the Ethereum network was designed to be a smart contract and decentralized application platform. Many other digital asset networks—ranging from cloud computing to tokenized securities networks—have only recently been established or begun to emerge. The further growth and development of any digital assets and their underlying networks and other cryptographic and algorithmic protocols governing the creation, transfer, and usage of digital assets represent a new and evolving paradigm that is subject to a variety of factors that are difficult to evaluate, including:</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many digital asset networks have limited operating histories and are still in the process of developing and making significant decisions that will affect the design, supply, issuance, functionality, and governance of their respective digital assets and underlying blockchain networks, any of which could adversely affect their respective digital assets;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many digital asset networks are in the process of implementing software upgrades and other changes to their protocols, which could introduce software bugs, security risks, or adversely affect the respective digital asset networks;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several large networks, including Bitcoin and Ethereum, are developing new features to address fundamental speed, scalability, and energy usage issues. If these issues are not successfully addressed, or are unable to receive widespread adoption, the underlying digital assets could be adversely affected;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security issues, software bugs, and software errors have been identified with many digital assets and their underlying blockchain networks or protocols, some of which have been exploited by malicious actors. There are also inherent security weaknesses in some digital assets, such as when creators of certain digital asset networks use procedures that could allow hackers to counterfeit tokens. Any weaknesses identified with a digital asset could adversely affect its price, security, liquidity, and adoption. If a malicious actor or botnet (a volunteer or hacked collection of computers controlled by networked software coordinating the actions of the computers) obtains a majority of the compute or staking power on a digital asset network, as has happened in the past, it may be able to manipulate transactions, which could cause financial losses to holders, damage the network’s reputation and security, and adversely affect its value;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emergence of quantum computing and its potential for shortening the time required by governments, criminals, and unauthorized third parties to factor and derive the very large seed numbers (e.g., private keys) associated with current public key cryptography poses a future risk to current approaches to blockchain cryptography that protect many digital assets from theft or loss;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development of new technologies for mining, such as improved application-specific integrated circuits (commonly referred to as ASICs), or changes in industry patterns, such as the consolidation of mining power in a small number of large mining farms, could reduce the security of blockchain networks, lead to increased liquid supply of digital assets, and reduce a digital asset’s price and attractiveness;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if rewards and transaction fees for miners or validators on any particular digital asset network are not sufficiently high to attract and retain miners or validators, a digital asset network’s security and speed may be adversely affected, increasing the likelihood of a malicious attack;</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if the costs of electricity, environmental restrictions, and regulations make it uneconomic for miners to operate or maintain blockchain networks, the overall security and efficiency of digital asset networks may be adversely affected, potentially impacting their reliability and attractiveness to users and investors;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180"/>
        <w:jc w:val="left"/>
        <w:rPr/>
      </w:pPr>
      <w:hyperlink w:anchor="i8e13d1b6f3764394b0e424082d2ac79f_7">
        <w:r>
          <w:rPr>
            <w:rStyle w:val="InternetLink"/>
            <w:rFonts w:ascii="Times New Roman;serif" w:hAnsi="Times New Roman;serif"/>
            <w:b w:val="false"/>
            <w:color w:val="000080"/>
            <w:sz w:val="20"/>
            <w:u w:val="single"/>
          </w:rPr>
          <w:t>Table of Content</w:t>
        </w:r>
      </w:hyperlink>
      <w:hyperlink w:anchor="i8e13d1b6f3764394b0e424082d2ac79f_7">
        <w:r>
          <w:rPr>
            <w:rStyle w:val="InternetLink"/>
            <w:rFonts w:ascii="Times New Roman;serif" w:hAnsi="Times New Roman;serif"/>
            <w:b w:val="false"/>
            <w:color w:val="000080"/>
            <w:sz w:val="20"/>
            <w:u w:val="single"/>
          </w:rPr>
          <w:t>s</w:t>
        </w:r>
      </w:hyperlink>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many digital assets have concentrated ownership or an “admin key,” allowing a small group of holders to have significant or unilateral control and potentially collusive influence over key decisions relating to their digital asset networks, such as governance decision and protocol changes, which could impact the market price of such digital assets;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the governance of many decentralized blockchain networks and protocols is by voluntary consensus and open competition, and many developers are not directly compensated for their contributions. As a result, there may be a lack of consensus or clarity on the governance of any particular digital asset network or protocols, a lack of incentives for developers to maintain or develop the network, and other unforeseen issues, any of which could result in unexpected or undesirable errors, bugs, or changes, or stymie such network or protocol’s utility and ability to respond to challenges and grow;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many digital asset networks and protocols are in the early stages of developing partnerships and collaborations, all of which may not succeed and adversely affect the usability and adoption of the respective digital assets;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digital assets have only recently become selectively accepted as a means of payment by retail and commercial outlets, and use of digital assets by consumers to pay such retail and commercial outlets remains limited. Banks and other established financial institutions may refuse to (i) process funds for digital asset transactions; (ii) process wire transfers to or from digital asset exchanges, digital asset-related companies, and service providers; or (iii) maintain accounts for persons or entities transacting in digital assets. As a result, the prices of various digital assets are largely determined by speculators, miners and validators, thus contributing to price volatility, which makes retailers less likely to accept digital assets as a form of payment in the future;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banks may choose to not provide or cease providing banking services to businesses that provide digital asset-related services or that accept digital assets as payment, which could harm our banking infrastructure, limit us from operating in certain jurisdictions or limit product or service offerings, dampen liquidity in the market, and damage public perception of digital assets generally or any one digital asset in particular and their or our utility as a payment system. These actions could decrease the price of digital assets generally or individually;</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there is a lack of liquid markets in certain digital assets, and these markets are subject to possible manipulation;</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certain digital assets have concentrated ownership, and large sales or distributions by significant holders of such digital assets, or “whales,” could have an adverse effect on the market price of such digital assets;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the characteristics of digital assets have been, and may in the future continue to be, exploited to facilitate illegal activity such as fraud, money laundering, tax evasion, and ransomware scams;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governments, quasi-government and other regulatory bodies may impose additional regulation on digital assets and blockchain technology, and the regulatory environment for digital assets is changing and unpredictable;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consumer demographics, public tastes and preferences, and general economic conditions may change and affect the acceptance and popularity of digital assets;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forks of digital assets may occur at any time. A fork can lead to a disruption of networks and our information and technology systems, cybersecurity attacks, replay attacks, or security weaknesses, any of which can further lead to assets being unavailable for a period of time or temporary or even permanent loss of assets.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Various other technical issues have also been uncovered from time to time that have or could have resulted in disabled functionalities, exposure of certain users’ personal information, theft of users’ assets, and other negative consequences, and which required resolution with the attention and efforts of their global miner, user, and development communities. If any such risks or other risks materialize, and in particular if they are not resolved, the development and growth of digital assets may be significantly affected and, as a result, our business, financial condition, and results of operations could be adversely affected.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Many participants in the financial industry (including regulators) and other industries may oppose the development of products and services that utilize blockchain technology. The market participants who oppose such products and services may include entities with significantly greater resources, including financial resources and political influence, than we have. Our ability to operate and achieve our commercial goals could be adversely affected by any actions of any such market participants that result in additional regulatory requirements, legal challenges or other activities that make it more difficult for us to operate.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180"/>
        <w:jc w:val="left"/>
        <w:rPr/>
      </w:pPr>
      <w:hyperlink w:anchor="i8e13d1b6f3764394b0e424082d2ac79f_7">
        <w:r>
          <w:rPr>
            <w:rStyle w:val="InternetLink"/>
            <w:rFonts w:ascii="Times New Roman;serif" w:hAnsi="Times New Roman;serif"/>
            <w:b w:val="false"/>
            <w:color w:val="000080"/>
            <w:sz w:val="20"/>
            <w:u w:val="single"/>
          </w:rPr>
          <w:t>Table of Content</w:t>
        </w:r>
      </w:hyperlink>
      <w:hyperlink w:anchor="i8e13d1b6f3764394b0e424082d2ac79f_7">
        <w:r>
          <w:rPr>
            <w:rStyle w:val="InternetLink"/>
            <w:rFonts w:ascii="Times New Roman;serif" w:hAnsi="Times New Roman;serif"/>
            <w:b w:val="false"/>
            <w:color w:val="000080"/>
            <w:sz w:val="20"/>
            <w:u w:val="single"/>
          </w:rPr>
          <w: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blockchain industry as a whole has been characterized by rapid changes and innovations and is constantly evolving. Although it has experienced significant growth in recent years, the slowing or stopping of the development, general acceptance and adoption and usage of blockchain technology and digital assets may adversely impact our business, financial condition, and results of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may need additional capital, and we cannot be certain that additional financing will be available on favorable terms, or at all.</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Historically, we have funded our operations and capital expenditures primarily through direct and indirect contributions from FT, cash generated from our operations, and debt financing for capital purchases. Although we currently anticipate that our existing cash and cash equivalents will be sufficient to meet our cash needs for at least the next 12 months, our anticipated cash needs may be greater than our resources and we may require additional financing. We evaluate financing opportunities from time to time, and our ability to obtain financing will depend, among other things, on our development efforts, business plans, operating performance, and the condition of the capital markets at the time we seek financing. We cannot assure you that additional financing will be available to us on favorable terms when required, or at all. If we raise additional funds through the issuance of equity or equity-linked securities, those securities may have rights, preferences, or privileges senior to the rights of our Class A common stock and Blockchain Stock, and our stockholders may experience dilution. If we raise additional funds by incurring indebtedness, then we may be subject to increased fixed payment obligations and could be subject to restrictive covenants, such as limitations on our ability to incur additional debt, and other operating restrictions that could adversely affect our ability to conduct our business. Any future indebtedness we may incur may result in terms that could be unfavorable to our investors.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To the extent that we seek to grow through future acquisitions or other strategic investments or alliances, we may not be able to do so effectively.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may in the future seek to grow our business by exploring potential acquisitions or other strategic investments or alliances. However, we may not be successful in identifying businesses or opportunities that meet our acquisition or expansion criteria. In addition, even if a potential acquisition target or other strategic investment opportunity is identified, we may not be successful in completing such acquisition or integrating such new business or other investment. We may face significant competition for acquisition and other strategic investment opportunities from other well-capitalized companies that have greater financial resources and access to debt and equity capital to secure such acquisitions or investments than we do. As a result of such competition, we may be unable to acquire certain assets or businesses or take advantage of other strategic investment opportunities that we deem attractive, the purchase price for a given strategic opportunity may be significantly elevated, or certain other terms or circumstances may be substantially more onerous. Moreover, we are subject to regulatory risk in connection with potential acquisitions or other strategic investments or alliances, including changes in law or interpretations of law that could result in increased scrutiny, require restructuring, and/or diminish the value of these acquisitions, investments, or alliances. There can be no assurance that we will be able to manage our expanding operations, including from acquisitions, investments, or alliances, and any failure to do so could adversely affect our business,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Loan Specific Risks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If loans originated by us or through our platform and purchased by us do not perform, or significantly underperform, we may incur financial losses on the loans we hold on our balance sheet, which could adversely affect our business, financial condition, and results of operations, as well as result in the loss of confidence of our funding sources.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retain a significant amount of loans on our balance sheet funded through warehouse credit facilities. Of the $404 million of loans on our balance sheet as of December 31, 2025, $210 million, or 52%, of these loans were funded through our warehouse credit facilities. Of the $396 million of loans on our balance sheet as of December 31, 2024, $306 million, or 77%, of these loans were funded through our warehouse credit facilities. For these loans and any future loans originated by us or loans originated by our partners using our technology and purchased by us that may be held for investment on our balance sheet, we bear the entire credit risk in the event of customer default. An increase in customer defaults on the HELOCs held on our balance sheet could have an adverse effect on our business given that a substantial percentage of such loans have liens with greater priority than those we hold. As of December 31, 2025 and 2024, we did not hold the first lien on 83% and 91%, respectively, of the HELOCs on our balance sheet. In addition, non-performance, or even significant underperformance, of the loan receivables that we own could have an adverse effect on our business,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180"/>
        <w:jc w:val="left"/>
        <w:rPr/>
      </w:pPr>
      <w:hyperlink w:anchor="i8e13d1b6f3764394b0e424082d2ac79f_7">
        <w:r>
          <w:rPr>
            <w:rStyle w:val="InternetLink"/>
            <w:rFonts w:ascii="Times New Roman;serif" w:hAnsi="Times New Roman;serif"/>
            <w:b w:val="false"/>
            <w:color w:val="000080"/>
            <w:sz w:val="20"/>
            <w:u w:val="single"/>
          </w:rPr>
          <w:t>Table of Content</w:t>
        </w:r>
      </w:hyperlink>
      <w:hyperlink w:anchor="i8e13d1b6f3764394b0e424082d2ac79f_7">
        <w:r>
          <w:rPr>
            <w:rStyle w:val="InternetLink"/>
            <w:rFonts w:ascii="Times New Roman;serif" w:hAnsi="Times New Roman;serif"/>
            <w:b w:val="false"/>
            <w:color w:val="000080"/>
            <w:sz w:val="20"/>
            <w:u w:val="single"/>
          </w:rPr>
          <w: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Digital assets-secured personal loans are subject to the volatility of the digital assets markets. Significant fluctuations in the value of the digital assets securing the loans can trigger margin calls, requiring borrowers to provide additional collateral or make payments. Failure to meet margin calls can result in the liquidation of the borrower’s digital assets, potentially leading to financial losses and borrower dissatisfaction.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Additionally, our funding model relies on a variety of funding arrangements, including warehouse credit facilities, term securitizations, and whole loan sales. Any significant underperformance of the loans facilitated through our platform may adversely impact our relationship with such funding sources and result in their loss of confidence in us, which could lead to the termination of our existing funding arrangements and adversely affect our business, financial condition, and results of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Increases in borrower default rates on loans could make us and our loans less attractive to loan purchasers, lenders under warehouse credit facilities and investors in securitizations, which may adversely affect our access to financing and our business, financial condition, and results of operations.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Increases in borrower default rates, due to deteriorating economic conditions or other factors, could make us and our loans less attractive to our existing or prospective funding sources, including loan purchasers on the secondary market, securitization investors and lenders under debt warehousing facilities. The volatility of digital assets markets could exacerbate default risks on digital assets-secured personal loans, as significant fluctuations in collateral value may lead to borrower defaults or margin calls that are unmet, resulting in forced liquidations. These factors could further impact the attractiveness of our loans to existing or prospective funding sources. If our existing funding sources do not achieve their desired financial returns or if they suffer losses, they or prospective funding sources may increase the cost of providing future financing or refuse to provide future financing or purchase loans on terms acceptable to us or at all.</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HELOC securitizations are non-recourse to us and are collateralized by the pool of HELOCs pledged to the relevant securitization issuer. While we are not obligated to support the performance of the loans once securitized and the related securitization entities are variable interest entities that are not consolidated in our financial statements, the performance of these loans may nonetheless impact the credit ratings assigned to the securities issued by our securitization trusts. For example, if the loans securing our securitizations underperform relative to expectations, rating agencies may place the related bonds on watch, downgrade their ratings on such bonds, or revise their rating methodologies in a manner that reflects negatively on the underlying loan quality. Although these rating actions pertain to the securitization trusts and not to our corporate credit directly, they may influence how rating agencies, warehouse lenders, institutional loan purchasers, or other market participants assess our loan origination and servicing practices. As a result, negative loan performance or adverse rating actions could increase the cost of, or reduce access to, future financing—including warehouse credit facilities and loan sales—or limit the ability of our securitization trusts to issue securities on terms acceptable to us or at all.</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While we are able to temporarily hold loans on our balance sheet upon an increase in borrower default rates, a substantial increase in the volume of borrower defaults would negatively impact our financial condition. Consequently, if we were to be unable to arrange new or alternative methods of financing on favorable terms, we may have to curtail or cease our origination of loans, which would adversely affect our business, financial condition, and results of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HELOCs and other loans we make, such as digital assets-secured personal loans, are subject to federal, state and local laws that regulate various aspects of lending, including disclosures, interest rates and other charges, and if we exceed applicable limitations on interest, loan charges, and other fees or fail to provide required disclosures, our business, financial condition, and results of operations could be significantly adversely affected, including but not limited to, through litigation (including damages), investigation, enforcement and other regulatory and legal action and penalties.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Our HELOCs and other loans we make, such as digital assets-secured personal loans, are subject to applicable federal, state and local laws that regulate, among other things, interest rates and other charges, require specific disclosures, regulate specific practices, and require licensing of various participants in the transaction. In addition, other federal, state and local laws, public policy, and general principles of equity relating to the protection of consumers, unfair, deceptive, and abusive practices, and debt collection practices apply to the origination, ownership, servicing, or collection of the HELOCs and other loans we make. </w:t>
      </w:r>
    </w:p>
    <w:p>
      <w:pPr>
        <w:pStyle w:val="TextBody"/>
        <w:bidi w:val="0"/>
        <w:spacing w:lineRule="auto" w:line="288" w:before="0" w:after="180"/>
        <w:jc w:val="both"/>
        <w:rPr/>
      </w:pPr>
      <w:r>
        <w:rPr>
          <w:rFonts w:ascii="Times New Roman;serif" w:hAnsi="Times New Roman;serif"/>
          <w:b w:val="false"/>
          <w:color w:val="000000"/>
          <w:sz w:val="20"/>
        </w:rPr>
        <w:t xml:space="preserve">Title V of the Depository Institutions Deregulation and Monetary Control Act of 1980 (“Title V”, “DIDMCA”), section 501, generally preempts state usury limitations on certain loans, mortgages, credit sales, or advances secured by a </w:t>
      </w:r>
      <w:r>
        <w:rPr>
          <w:rFonts w:ascii="Times New Roman;serif" w:hAnsi="Times New Roman;serif"/>
          <w:b w:val="false"/>
          <w:i/>
          <w:color w:val="000000"/>
          <w:sz w:val="20"/>
        </w:rPr>
        <w:t>first</w:t>
      </w:r>
      <w:r>
        <w:rPr>
          <w:color w:val="000000"/>
        </w:rPr>
        <w:t xml:space="preserve"> </w:t>
      </w:r>
      <w:r>
        <w:rPr>
          <w:rFonts w:ascii="Times New Roman;serif" w:hAnsi="Times New Roman;serif"/>
          <w:b w:val="false"/>
          <w:i/>
          <w:color w:val="000000"/>
          <w:sz w:val="20"/>
        </w:rPr>
        <w:t>lien on residential real property</w:t>
      </w:r>
      <w:r>
        <w:rPr>
          <w:color w:val="000000"/>
        </w:rPr>
        <w:t xml:space="preserve"> </w:t>
      </w:r>
      <w:r>
        <w:rPr>
          <w:rFonts w:ascii="Times New Roman;serif" w:hAnsi="Times New Roman;serif"/>
          <w:b w:val="false"/>
          <w:color w:val="000000"/>
          <w:sz w:val="20"/>
        </w:rPr>
        <w:t xml:space="preserve">made after March 31, 1980. The Office of the Comptroller of the Currency (the “OCC”), as successor to the Federal Home Loan Bank Board, was authorized to issue rules and regulations implementing Title V. While the statute authorized states to reimpose interest rate limits by adopting legislation or a constitutional provision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180"/>
        <w:jc w:val="left"/>
        <w:rPr/>
      </w:pPr>
      <w:hyperlink w:anchor="i8e13d1b6f3764394b0e424082d2ac79f_7">
        <w:r>
          <w:rPr>
            <w:rStyle w:val="InternetLink"/>
            <w:rFonts w:ascii="Times New Roman;serif" w:hAnsi="Times New Roman;serif"/>
            <w:b w:val="false"/>
            <w:color w:val="000080"/>
            <w:sz w:val="20"/>
            <w:u w:val="single"/>
          </w:rPr>
          <w:t>Table of Content</w:t>
        </w:r>
      </w:hyperlink>
      <w:hyperlink w:anchor="i8e13d1b6f3764394b0e424082d2ac79f_7">
        <w:r>
          <w:rPr>
            <w:rStyle w:val="InternetLink"/>
            <w:rFonts w:ascii="Times New Roman;serif" w:hAnsi="Times New Roman;serif"/>
            <w:b w:val="false"/>
            <w:color w:val="000080"/>
            <w:sz w:val="20"/>
            <w:u w:val="single"/>
          </w:rPr>
          <w:t>s</w:t>
        </w:r>
      </w:hyperlink>
    </w:p>
    <w:p>
      <w:pPr>
        <w:pStyle w:val="TextBody"/>
        <w:bidi w:val="0"/>
        <w:spacing w:lineRule="auto" w:line="288" w:before="0" w:after="180"/>
        <w:jc w:val="both"/>
        <w:rPr/>
      </w:pPr>
      <w:r>
        <w:rPr>
          <w:rFonts w:ascii="Times New Roman;serif" w:hAnsi="Times New Roman;serif"/>
          <w:b w:val="false"/>
          <w:color w:val="000000"/>
          <w:sz w:val="20"/>
        </w:rPr>
        <w:t xml:space="preserve">before April 1, 1983, only fifteen states have done so. Even where Title V has not been so rejected, states retain the authority to limit certain other loan charges and other aspects of extending credit. Certain states have taken action to reimpose interest rate limits and/or limit these other loan charges or regulate other aspects of loans. Importantly, to the extent that a HELOC is secured by a </w:t>
      </w:r>
      <w:r>
        <w:rPr>
          <w:rFonts w:ascii="Times New Roman;serif" w:hAnsi="Times New Roman;serif"/>
          <w:b w:val="false"/>
          <w:i/>
          <w:color w:val="000000"/>
          <w:sz w:val="20"/>
        </w:rPr>
        <w:t>subordinate</w:t>
      </w:r>
      <w:r>
        <w:rPr>
          <w:color w:val="000000"/>
        </w:rPr>
        <w:t xml:space="preserve"> </w:t>
      </w:r>
      <w:r>
        <w:rPr>
          <w:rFonts w:ascii="Times New Roman;serif" w:hAnsi="Times New Roman;serif"/>
          <w:b w:val="false"/>
          <w:color w:val="000000"/>
          <w:sz w:val="20"/>
        </w:rPr>
        <w:t xml:space="preserve">lien on the related property, that HELOC </w:t>
      </w:r>
      <w:r>
        <w:rPr>
          <w:rFonts w:ascii="Times New Roman;serif" w:hAnsi="Times New Roman;serif"/>
          <w:b w:val="false"/>
          <w:i/>
          <w:color w:val="000000"/>
          <w:sz w:val="20"/>
        </w:rPr>
        <w:t>will not</w:t>
      </w:r>
      <w:r>
        <w:rPr>
          <w:color w:val="000000"/>
        </w:rPr>
        <w:t xml:space="preserve"> </w:t>
      </w:r>
      <w:r>
        <w:rPr>
          <w:rFonts w:ascii="Times New Roman;serif" w:hAnsi="Times New Roman;serif"/>
          <w:b w:val="false"/>
          <w:color w:val="000000"/>
          <w:sz w:val="20"/>
        </w:rPr>
        <w:t xml:space="preserve">qualify for preemption of state usury laws under Title V, as preemption under section 501 of Title V generally applies only to </w:t>
      </w:r>
      <w:r>
        <w:rPr>
          <w:rFonts w:ascii="Times New Roman;serif" w:hAnsi="Times New Roman;serif"/>
          <w:b w:val="false"/>
          <w:i/>
          <w:color w:val="000000"/>
          <w:sz w:val="20"/>
        </w:rPr>
        <w:t>first</w:t>
      </w:r>
      <w:r>
        <w:rPr>
          <w:color w:val="000000"/>
        </w:rPr>
        <w:t xml:space="preserve"> </w:t>
      </w:r>
      <w:r>
        <w:rPr>
          <w:rFonts w:ascii="Times New Roman;serif" w:hAnsi="Times New Roman;serif"/>
          <w:b w:val="false"/>
          <w:color w:val="000000"/>
          <w:sz w:val="20"/>
        </w:rPr>
        <w:t xml:space="preserve">liens. Further, as a non-depository lender, we do not directly qualify for the interest rate preemption authority available to federally chartered or state-chartered banks under federal banking law (e.g., under section 85 of the National Bank Act, which applies to national banks, or section 521 of DIDMCA, which applies to state-chartered banks and has been the subject to recent state opt-out legislation and court challenges). As a result, our HELOCs and other loans we make may be subject to applicable state and local law limitations, including with respect to interest rates, loan charges, and other fees.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If we were to charge interest, fees, or other amounts that exceed applicable limitations, fail to deliver required disclosures to borrowers, or otherwise fail to comply with applicable federal, state, and local laws, the HELOCs or other loans we make, such as digital assets-secured personal loans, could be deemed unenforceable, in whole or in part. We might be unable to collect all or part of the principal, interest, or other amounts incurred by the customer, the customer could be entitled to refunds of amounts previously paid, and our securitization trusts and related entities, and any of their respective assignees, could be subject to litigation (including damages), investigation, enforcement and other regulatory and legal action and penalties. These consequences could adversely affect our business, financial condition, and results of operations. Unfavorable changes in state and local laws regulating lending, including interest rates and other charges, particularly in the states in which we have a high concentration of loan originations, could also adversely affect our business, financial condition, and results of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If a court or regulator determines that our HELOCs cannot be characterized as a fixed-rate extension of “open-end credit” under the TILA or state law, we would be subject to the more prescriptive closed-end mortgage laws and rules, as well as laws and rules applicable to variable-rate HELOCs, which would have a material adverse effect on our business, financial condition, and results of operations.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characterize our HELOCs as “open-end credit” for purposes of the TILA because we contemplate that they will be used for repeated draws, we impose a finance charge on the outstanding unpaid balance, and we generally make the amount of credit that can be extended to the borrower during the plan available to the extent that any outstanding balance is repaid, as set forth in 12 C. F. R. 1026.2(a)(20). However, it is possible that a court or regulator could recharacterize our HELOCs as closed-end credit. In such case, the HELOCs would be subject not only to TILA and Regulation Z’s ability to repay requirements, but also to a variety of other federal and state regulatory requirements that otherwise would not apply, including the TILA-RESPA Integrated Disclosure Rule, which was promulgated by the Consumer Financial Protection Bureau (the “CFPB”) and requires integrated loan estimate and closing disclosure forms to be provided to borrowers of closed-end mortgage loans, and the Loan Originator Compensation Rule, which was also promulgated by the CFPB and prohibits the payment to or receipt by loan originators of compensation that is based on a term of a closed-end consumer credit transaction secured by a dwelling or based on a proxy for such a term. In addition to TILA and Regulation Z, state laws may separately impose ability to repay requirements or other substantive restrictions, including licensing, mortgage lending, mortgage servicing, and usury laws on closed-end mortgage loans that our HELOCs may not satisfy if they were to be re-characterized as extensions of closed-end credit.</w:t>
      </w:r>
    </w:p>
    <w:p>
      <w:pPr>
        <w:pStyle w:val="TextBody"/>
        <w:bidi w:val="0"/>
        <w:spacing w:lineRule="auto" w:line="288" w:before="0" w:after="180"/>
        <w:jc w:val="both"/>
        <w:rPr/>
      </w:pPr>
      <w:r>
        <w:rPr>
          <w:rFonts w:ascii="Times New Roman;serif" w:hAnsi="Times New Roman;serif"/>
          <w:b w:val="false"/>
          <w:color w:val="000000"/>
          <w:sz w:val="20"/>
        </w:rPr>
        <w:t>The proceeds of each of our HELOCs are fully drawn at account opening, with borrowers having the ability to take additional draws as the initial and any subsequent draws are repaid. Draw periods on the HELOCs generally last between two and five years after origination. E</w:t>
      </w:r>
      <w:r>
        <w:rPr>
          <w:rFonts w:ascii="Times New Roman;serif" w:hAnsi="Times New Roman;serif"/>
          <w:b w:val="false"/>
          <w:color w:val="000000"/>
          <w:sz w:val="20"/>
          <w:shd w:fill="FFFFFF" w:val="clear"/>
        </w:rPr>
        <w:t xml:space="preserve">ach draw (including the initial draw) is amortized from the draw date to the maturity date. For our fixed-rate HELOCs, the interest rate for each draw is fixed, based on a designated index plus a fixed margin. The rate for subsequent draws after the initial draw is also set based on a designated index and a fixed margin at the time of each draw, which may be higher or lower than the fixed rate for the initial draw. For our variable-rate HELOCs, the interest rate for the initial draw and subsequent draws is based on an interest rate index and a credit agreement margin. A monthly increase or decrease in the interest rate index will cause a corresponding increase or decrease in the variable rate after account opening, subject to a rate floor and rate cap. The index can change at any time and the unpaid balance of all draws under the variable-rate HELOCs are subject to the monthly variable rate. Some of the foregoing characteristics could potentially lead to scrutiny regarding whether the HELOCs, particularly the fixed-rate HELOCs, may be “closed-end” or variable-rate credit. Accordingly, there can be no guarantee </w:t>
      </w:r>
      <w:r>
        <w:rPr>
          <w:rFonts w:ascii="Times New Roman;serif" w:hAnsi="Times New Roman;serif"/>
          <w:b w:val="false"/>
          <w:color w:val="000000"/>
          <w:sz w:val="20"/>
        </w:rPr>
        <w:t xml:space="preserve">that a court or regulator would not determine that the HELOCs constitute an extension of closed-end credit. To the extent that a HELOC is recharacterized as closed-end credit or the originator of such HELOC is found to have structured the HELOC as open-end credit for the purpose of evading otherwise applicable regulatory requirements, all or part of the principal of or interest on the HELOC may not be collectable, the HELOC may be able to be rescinded by the borrower, the borrower may be entitled to a refund of amounts previously paid and we, our securitization trusts and related entities, and any of their respective assignees could be subject to litigation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180"/>
        <w:jc w:val="left"/>
        <w:rPr/>
      </w:pPr>
      <w:hyperlink w:anchor="i8e13d1b6f3764394b0e424082d2ac79f_7">
        <w:r>
          <w:rPr>
            <w:rStyle w:val="InternetLink"/>
            <w:rFonts w:ascii="Times New Roman;serif" w:hAnsi="Times New Roman;serif"/>
            <w:b w:val="false"/>
            <w:color w:val="000080"/>
            <w:sz w:val="20"/>
            <w:u w:val="single"/>
          </w:rPr>
          <w:t>Table of Content</w:t>
        </w:r>
      </w:hyperlink>
      <w:hyperlink w:anchor="i8e13d1b6f3764394b0e424082d2ac79f_7">
        <w:r>
          <w:rPr>
            <w:rStyle w:val="InternetLink"/>
            <w:rFonts w:ascii="Times New Roman;serif" w:hAnsi="Times New Roman;serif"/>
            <w:b w:val="false"/>
            <w:color w:val="000080"/>
            <w:sz w:val="20"/>
            <w:u w:val="single"/>
          </w:rPr>
          <w: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(including damages), investigation, enforcement and other regulatory and legal action and penalties. With respect to fixed-rate HELOCs, because the rate applicable to each fixed-rate HELOC draw does not vary after the draw is made, we originate our HELOCs in compliance with legal requirements applicable to fixed-rate HELOCs, which, in certain cases, may differ from the legal requirements that apply to variable-rate HELOCs. If a court or regulator were to recharacterize our fixed-rate HELOCs as variable-rate HELOC, the HELOC may be able to be rescinded by the borrower, the borrower may be entitled to a refund of amounts previously paid and we, our securitization trusts and related entities, and any of their respective assignees could be subject to litigation (including damages), investigation, enforcement and other regulatory and legal action and penalties. Any such recharacterization of the HELOCs as either closed-end credit or variable-rate credit would affect all of the HELOCs that we have originated to date and would have a material adverse effect on our business, financial condition, and results of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Borrowers may prepay a loan at any time without penalty, which could reduce our servicing fees and deter our partners and loan purchasers from investing in our loans.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 borrower may decide to prepay all or a portion of the remaining principal amount on a loan at any time without penalty. If the entire or a significant portion of the remaining unpaid principal amount of a loan is prepaid, we would not receive a servicing fee, or we would receive a significantly lower servicing fee associated with such prepaid loan. Prepayments may occur for a variety of reasons, including if interest rates decrease after a loan is made. If a significant volume of prepayments occurs, the amount of our servicing fees would decline, which could adversely affect our business, financial condition, and results of operations. Our models are designed to predict prepayment rates. However, if there is a significant volume of prepayments that our models do not accurately predict, returns targeted by our partners and loan purchasers in our loan funding programs would be adversely affected, and our ability to attract new partners and loan purchasers in our loan funding programs would be negatively affected.</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The management and security of digital assets collateral presents risk of potential loss of the collateral and attendant legal and reputational consequences.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rely on third-party custodial service providers, or self-custody via decentralized Multi-Party Computation (“MPC”) wallets, to hold the digital asset collateral we receive in respect of digital asset-secured personal loans. At present, we entrust the collateral for digital asset-secured loans to Anchorage Digital Bank National Association (“Anchorage”), a qualified custodian. Anchorage is chartered and regulated by the Office of the Comptroller of the Currency. Our relationship with Anchorage is governed by a Master Custody Service Agreement. The material terms of the Master Custody Services Agreement and First Amendment thereto are summarized below. This summary is not a complete description of all provisions of the Master Custody Services Agreement and is qualified in its entirety by reference to the Master Custody Services Agreement, which is on file with the SEC. When we issue a digital asset-secured personal loan to a customer, we establish a new order form with Anchorage to manage the collateral associated with the loan. These agreements generally have a fixed one-year term and automatically renew for additional one-year terms unless either party terminates the agreement at least 30 days before the end of the then current term. Anchorage is entitled to an annual fee of 0.35% of the market value of the collateral, which is assessed as a 0.0292% monthly fee based on the market value of the collateral. While Anchorage is a federally regulated entity, we remain exposed to various risks as a result of our reliance on a third-party custodian to manage and hold the collateral in respect of our digital asset-secured loans. There are inherent risks associated with the security and management of digital assets, and we are therefore exposed to risks of loss stemming from the operational and cybersecurity systems and controls of such custodians. For example, cybersecurity threats or operational errors experienced by such custodians could result in the loss or compromise of some or all of the digital asset collateral they hold on our behalf. Were such a loss to occur, there is no guarantee that we would have full recourse against such custodian for the value of the collateral lost and we could be left in an unsecured position with respect to our digital asset loans. Moreover, such an event may also result in us incurring liability to return equivalent collateral to our borrowers. Such incidents could expose us to significant legal disputes and damage our reputation, potentially leading to financial losses and a loss of trust from our customers and investors.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Declines in the value of the collateral for our digital assets-secured loans can lead to margin calls, affecting borrowers’ ability to manage their loans, exposes us to the financial, legal, and reputational risks associated with potential system failures, data inaccuracies, and cybersecurity threats, and potentially leading to financial losses for us.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Our digital assets-secured personal loans are structured with fixed interest rates and fees based on the loans’ initial loan-to-value ratios. If the value of the digital assets collateral decreases significantly, the loan-to-value ratio can rise, triggering a margin call, which requires borrowers to either add more collateral or make payments to restore the loan-to-value ratio to its original level. Failure to meet margin calls can result in the liquidation of the borrower’s digital assets, potentially leading to financial losses for us if the collateral is insufficient to repay the borrower’s debt and borrower dissatisfaction.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180"/>
        <w:jc w:val="left"/>
        <w:rPr/>
      </w:pPr>
      <w:hyperlink w:anchor="i8e13d1b6f3764394b0e424082d2ac79f_7">
        <w:r>
          <w:rPr>
            <w:rStyle w:val="InternetLink"/>
            <w:rFonts w:ascii="Times New Roman;serif" w:hAnsi="Times New Roman;serif"/>
            <w:b w:val="false"/>
            <w:color w:val="000080"/>
            <w:sz w:val="20"/>
            <w:u w:val="single"/>
          </w:rPr>
          <w:t>Table of Content</w:t>
        </w:r>
      </w:hyperlink>
      <w:hyperlink w:anchor="i8e13d1b6f3764394b0e424082d2ac79f_7">
        <w:r>
          <w:rPr>
            <w:rStyle w:val="InternetLink"/>
            <w:rFonts w:ascii="Times New Roman;serif" w:hAnsi="Times New Roman;serif"/>
            <w:b w:val="false"/>
            <w:color w:val="000080"/>
            <w:sz w:val="20"/>
            <w:u w:val="single"/>
          </w:rPr>
          <w:t>s</w:t>
        </w:r>
      </w:hyperlink>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Reliance on technology for digital assets-secured loans exposes us to the financial, legal, and reputational risks associated with potential system failures, data inaccuracies, and cybersecurity threats.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Our management of digital assets-secured loans is heavily dependent on advanced technology systems, including real-time pricing of collateral. This reliance introduces several risks, such as system failures that could disrupt loan processing and management, data inaccuracies that might lead to incorrect assessments of collateral value or borrower status, and cybersecurity threats that could compromise sensitive information. These vulnerabilities could adversely affect our operations, lead to financial losses, and impact our reputation and ability to retain and attract customers.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loan underwriting processes rely on automation and on data from third-party vendors, and, if that data is inaccurate or if the technology supporting that automation fails or is deployed incorrectly, our business may suffer losses due to poor loan performance or loss of customers or loan purchasers on the secondary market.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origination platform relies on automation to process data we receive from third-party vendors in connection with the underwriting process. Third-party vendors provide the data used by our platform to verify the creditworthiness of potential borrowers. This data may include, but is not limited to, (i) certain applicant depository accounts, (ii) payroll information from providers, (iii) tax return information, when provided, or (iv) other documents uploaded by the applicant. For loans underwritten based on the borrower’s income, we underwrite each loan based on the lower of the stated income amount provided by the borrower and the verified income amount, but the third-party data may be inaccurate, or our algorithms may not account for certain scenarios, resulting in the overstatement of such applicant’s income during the underwriting process. If we fail to adequately predict the creditworthiness of borrowers due to the design of our models or programming or other errors, and we do not detect and account for such errors, or any of the other components of our credit decision process fails, we may experience higher than forecasted loan losses. We also rely on data we receive from third-party vendors about lien data and value of the collateral. If this information is incorrect, we may experience higher than forecasted loan losses and may not be able to attract and retain our partners. Any of the foregoing could result in sub-optimally priced loans, incorrect approvals or denials of loans, or higher than expected loan losses, which in turn could adversely affect our ability to attract new borrowers, partners and loan purchasers to our platform, increase the number of our loans or maintain or increase the average size of loans facilitated on our platform.</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models also target and optimize other aspects of the lending process, such as customer acquisition, fraud detection, default timing, loan stacking, prepayment timing, and fee optimization, and our continued improvements to such models have allowed us to facilitate loans inexpensively and virtually instantly, with a high degree of borrower satisfaction and an insignificant impact on loan performance. However, such applications of our models may prove to be less predictive than we expect, or than they have been in the past, for a variety of reasons, including inaccurate assumptions or other errors made in constructing such models, incorrect interpretations of the results of such models, and failure to timely update model assumptions and parameters. Additionally, such models may not be able to effectively account for matters that are inherently difficult to predict and beyond our control, such as macroeconomic conditions, credit market volatility, interest rate fluctuations, and digital assets market volatility, which often involve complex interactions between a number of dependent and independent variables and factors. Material errors or inaccuracies in our data and/or models could lead us to make inaccurate or sub-optimal operational or strategic decisions, which could adversely affect our business, financial condition, and results of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If we do not make accurate credit and pricing decisions or effectively forecast our loss rates, our business, financial condition, and results of operations could be adversely affected.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making a decision whether to extend credit to prospective customers, we rely upon data, including data obtained from third parties, to assess our ability to extend credit within our risk appetite and overall risk level to determine lending exposure and loan pricing. If the decision components, rapidly deteriorating macroeconomic conditions or analytics are either unstable, biased, or missing key pieces of information, the wrong decisions will be made, which will negatively affect our business. If our credit decisioning strategy fails to adequately predict the creditworthiness of our borrowers, including a failure to predict a borrower’s true credit risk profile and ability to repay their loan, higher than expected loss rates will impact the fair value of our loans. Additionally, if any portion of the information pertaining to the prospective borrower is false, inaccurate, or incomplete, and our systems did not detect such falsities, inaccuracies, or incompleteness, or any of the other components of our credit decision process fails, we may experience higher than forecasted losses, including losses attributable to fraud. Furthermore, we rely on credit reporting agencies to obtain credit reports and other information in making underwriting and pricing decisions. If one of these third parties experiences an outage, if we are unable to access the third-party data used in our decision strategy, or if our access to such data is limited for any reason, our ability to originate loans may be reduced and our volume may suffer. We may also be unable to accurately evaluate potential borrowers or effectively predict credit losses inherent in our loan portfolio, which could adversely affect our business,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180"/>
        <w:jc w:val="left"/>
        <w:rPr/>
      </w:pPr>
      <w:hyperlink w:anchor="i8e13d1b6f3764394b0e424082d2ac79f_7">
        <w:r>
          <w:rPr>
            <w:rStyle w:val="InternetLink"/>
            <w:rFonts w:ascii="Times New Roman;serif" w:hAnsi="Times New Roman;serif"/>
            <w:b w:val="false"/>
            <w:color w:val="000080"/>
            <w:sz w:val="20"/>
            <w:u w:val="single"/>
          </w:rPr>
          <w:t>Table of Content</w:t>
        </w:r>
      </w:hyperlink>
      <w:hyperlink w:anchor="i8e13d1b6f3764394b0e424082d2ac79f_7">
        <w:r>
          <w:rPr>
            <w:rStyle w:val="InternetLink"/>
            <w:rFonts w:ascii="Times New Roman;serif" w:hAnsi="Times New Roman;serif"/>
            <w:b w:val="false"/>
            <w:color w:val="000080"/>
            <w:sz w:val="20"/>
            <w:u w:val="single"/>
          </w:rPr>
          <w: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Additionally, if we make errors in the development, validation, or implementation of any of the underwriting models or tools that we use for the loans securing our debt warehouses or included in securitization transactions or whole loan sales, such loans may experience higher delinquencies and losses, which would negatively impact our debt warehouse financing terms and future securitization and whole loan sale transactions.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rely upon the accuracy and completeness of information about borrowers, and any misrepresented information or fraud could adversely affect our financial condition and reputation.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use a combination of our own proprietary technology and third-party systems to determine if a loan applicant is creditworthy, and to detect and prevent fraud, including borrower identity theft. We are unable, however, to prevent every instance of fraud that may be engaged in by our borrowers and any loan broker or originator that misrepresents facts about a loan, including the information contained in the loan application. If any of this information is intentionally or negligently misrepresented and such misrepresentation is not detected prior to the acquisition or closing of the loan, the value of the loan could be significantly lower than expected, resulting in a loan being approved in circumstances where it would not have been had we been provided with accurate data. A loan subject to a material misrepresentation is typically unsalable or subject to repurchase if it is sold before detection of the misrepresentation. In addition, it is often difficult to collect monetary losses that we may have suffered as a result of persons or entities making a misrepresentation.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technology and other controls and processes we created to help us identify misrepresented information in our LOS were designed to obtain reasonable, not absolute, assurance that such information is identified and addressed appropriately. Accordingly, such controls may fail to detect all misrepresented information in our LOS.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High-profile fraudulent activity also could negatively impact our brand and reputation, which could impact our business. In addition, certain fraudulent activity could lead to regulatory intervention and/or increased oversight, which could increase our costs and adversely affect our business, financial condition, and results of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While we take precautions to prevent borrower identity fraud, our borrowers have been, and may again be, subject to identity fraud, which may adversely affect the performance of the loans facilitated through our platform.</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Identity theft and the related provision of false identifying information is the most prevalent form of fraud that we encounter. There is a risk of fraudulent activity associated with our platform, borrowers, partners, and third-party vendors that handle borrower information. While we take precautions to prevent borrower identity fraud, our resources, technologies, and fraud prevention tools may be insufficient to accurately detect and prevent fraud. We have been, and may again be, obligated to repurchase loans facilitated through our platform in certain cases of confirmed identity theft, and the level of fraud-related charge-offs on the loans facilitated through our platform could be adversely affected if fraudulent activity were to significantly increase. We bear the risk of borrower fraud in a transaction involving borrower identity fraud, and we generally have no recourse to collect the amount owed by the borrower. High-profile fraudulent activity or significant increases in fraudulent activity could also lead to regulatory intervention, negative publicity, and the erosion of trust from our borrowers and partners, and could materially and adversely affect our business, financial condition, and results of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underwriting may not accurately predict the likelihood of default for all loans, which could result in substantial losses that adversely affect our business, financial condition, and results of operations.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originate HELOCs and other loans according to our internal guidelines using our proprietary technology. Our underwriting guidelines may not always correlate with, or accurately predict, creditworthiness or the underlying loan defaults. A borrower’s ability to repay their loan could be adversely impacted by numerous factors, including a change in the borrower’s employment, financial condition, or other negative local or macroeconomic conditions. Deterioration in a borrower’s financial condition and prospects may be accompanied by deterioration in the value of the collateral for the loan.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some of the loans we originate have been, and in the future could be, made to self-employed borrowers, or to borrowers who do not live in the home subject to a HELOC. For example, during the year ended December 31, 2025, 9% of the total principal amount of the loans we originated were made to borrowers who do not live in the home subject to the HELOC they obtained. Loans to such borrowers may be higher-risk because the borrower may be more likely to default on their loans, and/or abandon the property in a default, either of which could increase our financial exposure. Further, the volatility of digital assets markets could exacerbate default risks on our digital assets-secured personal loans, as significant fluctuations in collateral value may lead to borrower defaults or margin calls that are unmet, resulting in forced liquidations.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180"/>
        <w:jc w:val="left"/>
        <w:rPr/>
      </w:pPr>
      <w:hyperlink w:anchor="i8e13d1b6f3764394b0e424082d2ac79f_7">
        <w:r>
          <w:rPr>
            <w:rStyle w:val="InternetLink"/>
            <w:rFonts w:ascii="Times New Roman;serif" w:hAnsi="Times New Roman;serif"/>
            <w:b w:val="false"/>
            <w:color w:val="000080"/>
            <w:sz w:val="20"/>
            <w:u w:val="single"/>
          </w:rPr>
          <w:t>Table of Content</w:t>
        </w:r>
      </w:hyperlink>
      <w:hyperlink w:anchor="i8e13d1b6f3764394b0e424082d2ac79f_7">
        <w:r>
          <w:rPr>
            <w:rStyle w:val="InternetLink"/>
            <w:rFonts w:ascii="Times New Roman;serif" w:hAnsi="Times New Roman;serif"/>
            <w:b w:val="false"/>
            <w:color w:val="000080"/>
            <w:sz w:val="20"/>
            <w:u w:val="single"/>
          </w:rPr>
          <w: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above-referenced loans may be more expensive to service because they require more frequent interaction with borrowers and greater monitoring and oversight. Additionally, these higher-risk loans may be subject to increased scrutiny by state and federal regulators and lead to higher compliance and regulatory costs, which could result in a further increase in servicing costs. We may not be able to pass along any of the additional expenses we incur in servicing these higher-risk loans to investors. The greater cost of servicing higher-risk loans could adversely affect our business, financial condition, and results of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The unique features of our LOS, including reliance on online notaries, automated valuation models (“AVMs”), and lien data may expose us to a greater risk of loss, which could harm our partners and investor relationships and our business, financial condition, and results of operations.</w:t>
      </w:r>
    </w:p>
    <w:p>
      <w:pPr>
        <w:pStyle w:val="TextBody"/>
        <w:bidi w:val="0"/>
        <w:spacing w:lineRule="auto" w:line="288" w:before="0" w:after="180"/>
        <w:jc w:val="both"/>
        <w:rPr/>
      </w:pPr>
      <w:r>
        <w:rPr>
          <w:rFonts w:ascii="Times New Roman;serif" w:hAnsi="Times New Roman;serif"/>
          <w:b w:val="false"/>
          <w:color w:val="000000"/>
          <w:sz w:val="20"/>
        </w:rPr>
        <w:t>Certain aspects of our LOS, including our reliance on remote online notaries (in place of in-person notaries), AVMs (in place of appraisals or other valuation methods), and lien data (in place of title searches and title insurance),</w:t>
      </w:r>
      <w:r>
        <w:rPr>
          <w:color w:val="000000"/>
        </w:rPr>
        <w:t xml:space="preserve"> </w:t>
      </w:r>
      <w:r>
        <w:rPr>
          <w:rFonts w:ascii="Times New Roman;serif" w:hAnsi="Times New Roman;serif"/>
          <w:b w:val="false"/>
          <w:color w:val="000000"/>
          <w:sz w:val="20"/>
        </w:rPr>
        <w:t>may expose us to a greater risk of loss, which could harm our partners and investor relationships and our business, financial condition, and results of operations. For example, during the origination process in 2025, 74% of the security instruments associated with our loans were notarized by remote online notaries located in Nevada. In states and localities whose laws or recording processes do not support the use of our remote notaries, we use a traditional, in-person notary who notarizes electronically signed closing documents. Currently, the majority of states support the use of our remote online notaries for security instruments securing liens on real property, although not every county in those states accept for recording security instruments that are notarized by remote online notarization. As of December 31, 2025 we used our remote online notaries to notarize security instruments in 59% of all of the counties where we record security instruments, and 75% of all counties where we have recorded security instruments allow electronic recording of security instruments (whether we use a remote online notary or an in-person notary). Most often, the remote online notary is not located in the same state where the property being financed is located. The use of out-of-state remote online notaries to notarize security instruments is a new concept that, to our knowledge, has not been tested in court. If a court concluded that the out-of-state remote online notary was ineffective, this could result in the loss of the security interest in the related mortgaged property, or losses in respect of the related loan, and we could be required to alter our closing process, which would increase the cost and time to close a loan in such jurisdiction.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reliance on AVMs for valuations of the properties securing our HELOCs could result in loans being undercollateralized, which could increase the risk of default and reduce our recovery in the event of a foreclosure. In addition, our reliance on lien data in lieu of title searches and title insurance in our origination process also exposes us to a greater risk of loss in the event that we underestimate or do not account for liens on the loan collateral. If our partners or investors do not accept these aspects of our origination process, we may be required to alter our processes, which would increase the cost and reduce the speed of our product.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Additionally, errors or inaccuracies in our LOS could result in any person exposed to the credit risk of our HELOCs or other loans we make—whether it be us, our partners, or investors in our loan funding programs—experiencing higher than expected losses or lower than desired returns, which could impair our ability to retain existing or attract new partners and investors to participate in our loan funding programs, reduce the number, or limit the types, of loans that partners and investors are willing to fund, and limit our ability to increase commitments under our repurchase warehouses and other debt facilities. Any of these circumstances could reduce the number of our HELOCs and other loans we make, harm our ability to maintain a diverse and robust loan funding program, and adversely affect our business, financial condition, and results of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primarily utilize a gain-on-sale origination model and, consequently, our business is affected by the cost and availability of funding in the capital markets.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to proceeds from the issuance of preferred stock, historically we have funded our operations and capital expenditures through sales of our loans, secured warehouse credit facilities, and securitizations. We primarily utilize a gain-on-sale origination model and, consequently, our earnings and financial condition are dependent on the price we can obtain for our HELOCs in the capital markets, which has been and may be negatively impacted by the combination of rising interest rates and longer periods during which we hold the loans on our balance sheet. These capital markets risks may be partially mitigated by the availability of other corporate cash to temporarily hold the loans on our balance sheet. However, corporate cash has not historically been our primary source of funding and can be impacted by a number of factors. Our ability to obtain financing in the capital markets depends, among other things, on our development efforts, business plans, operating performance, lending activities, and the condition of the capital markets at the time we seek financing. The capital markets have recently and from time to time experienced periods of significant volatility, including volatility driven by the COVID-19 pandemic, rising inflation, the war in Ukraine, and the Israel-Hamas conflict, among other things. This volatility can dramatically and adversely affect financing costs when compared to historical norms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180"/>
        <w:jc w:val="left"/>
        <w:rPr/>
      </w:pPr>
      <w:hyperlink w:anchor="i8e13d1b6f3764394b0e424082d2ac79f_7">
        <w:r>
          <w:rPr>
            <w:rStyle w:val="InternetLink"/>
            <w:rFonts w:ascii="Times New Roman;serif" w:hAnsi="Times New Roman;serif"/>
            <w:b w:val="false"/>
            <w:color w:val="000080"/>
            <w:sz w:val="20"/>
            <w:u w:val="single"/>
          </w:rPr>
          <w:t>Table of Content</w:t>
        </w:r>
      </w:hyperlink>
      <w:hyperlink w:anchor="i8e13d1b6f3764394b0e424082d2ac79f_7">
        <w:r>
          <w:rPr>
            <w:rStyle w:val="InternetLink"/>
            <w:rFonts w:ascii="Times New Roman;serif" w:hAnsi="Times New Roman;serif"/>
            <w:b w:val="false"/>
            <w:color w:val="000080"/>
            <w:sz w:val="20"/>
            <w:u w:val="single"/>
          </w:rPr>
          <w: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make funding unavailable. Additional factors that could make financing more expensive or unavailable to us include, but are not limited to, financial losses, events that have an adverse impact on our reputation, lawsuits challenging our business practices, adverse regulatory changes, changes in the activities of our business partners, loan performance, events that have an adverse impact on the financial services industry generally, counterparty availability, negative credit rating actions with respect to our rated securities, corporate and regulatory actions, interest rate changes, general economic conditions, including changing expectations for inflation and deflation, and the legal, regulatory and tax environments governing funding transactions, including existing or future securitization transactions. If financing is difficult, expensive, or unavailable, our business, financial condition, and results of operations could be adversely affected.</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rely on our warehouse credit facilities to fund loans, including HELOCs, and otherwise operate our business. If one or more of such facilities is terminated or otherwise becomes unavailable for us to use, we may be unable to find replacement financing at commercially favorable terms, or at all, which could adversely affect our business.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require a significant amount of short-term funding capacity for HELOCs and other loans we originate, and our business model is to fund substantially all of the loans we close on a short-term basis primarily under our warehouse credit facilities (as well as from our operations for any amounts not advanced by warehouse lenders). As of December 31, 2025, the aggregate borrowing limit on our warehouse credit facilities, including the Real Estate Investment Trust (“REIT”), was $1.6 billion. During the year ended December 31, 2025, our average utilization rate of the warehouse credit facilities, excluding REIT, as each was available throughout the year was 21%.</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Loan production activities generally require short-term liquidity in excess of amounts generated by our operations. The HELOCs we produce are typically financed through one of our warehouse credit facilities before being sold to a loan purchaser. We operate an originate-to-sell model and therefore sell the vast majority of the loans we originate. We originate all loans using cash on our balance sheet and then immediately finance each loan through our warehouse credit facilities, with the exception of a very small percentage of loans that are instead immediately sold to a third-party purchaser. For the years ended December 31, 2025 and 2024, we received proceeds from the sale of loans through whole loan sales with unpaid principal balances of $5 billion and $4 billion and from securitizations of loans we owned with unpaid principal balances of $749 million and $456 million, respectively. Our borrowings are generally repaid with the proceeds we receive from loan sales, and delays or failures in the loan sales could have a material adverse effect on our liquidity and our ability to repay existing borrowings or obtain additional funds. We are currently, and may in the future continue to be, dependent upon a handful of warehouse lenders to provide the primary funding facilities for our loans. While there are other lenders that participate in these types of warehouse facilities that could serve as future sources of warehouse borrowings, engaging with such other lenders and consummating new warehouse credit facilities may be time consuming, which could cause us to need to slow our origination activities if our current facilities were to become unavailable.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Consistent with industry practice, our existing warehouse credit facilities generally require periodic renewal. If any of our warehouse credit facilities are terminated or are not renewed or are not honored, we may be unable to find replacement financing on favorable terms, or at all, and we might not be able to originate an acceptable or sustainable volume of loans, which would have a material adverse effect on our business. Additionally, as our business continues to expand, we may need additional warehouse funding capacity for the loans we originate. There can be no assurance that we will be able to obtain additional warehouse funding capacity on favorable terms, on a timely basis, or at all.</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If we fail to meet or satisfy any of the financial or other covenants included in our warehouse credit facilities, we would be in default under one or more of these facilities, and our lenders could elect to declare all amounts outstanding under the facilities to be immediately due and payable, enforce their interests against loans pledged under such facilities, and restrict our ability to make additional borrowings. Certain of these facilities also contain cross-default provisions. These restrictions may interfere with our ability to obtain financing or to engage in other business activities, which could adversely affect our business, financial condition, and results of operations. We have in the past not complied with, and in the future may be unable to comply with, certain financial and other covenants included in our warehouse credit facilities.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addition, our agreements with our warehouse lenders may contain various concentration limits and triggers, including limits related to excess spread. A breach of such limits or other similar terms of such agreements could result in an inability to place loans in the relevant warehouse credit facilities and require us to pursue other forms of financing. If we are unable to find replacement financing on favorable terms, or at all, our operations could be adversely affected.</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securitizations, whole loan sales, and warehouse credit facilities expose us to certain risks, and we can provide no assurance that we will be able to access the securitization markets, continue our whole loan sales, renew our existing warehouse credit facilities, or obtain new warehouse credit facilities in the future. This may result in a reduction in our HELOC funding capital or require us to seek more costly financing for our platform.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180"/>
        <w:jc w:val="left"/>
        <w:rPr/>
      </w:pPr>
      <w:hyperlink w:anchor="i8e13d1b6f3764394b0e424082d2ac79f_7">
        <w:r>
          <w:rPr>
            <w:rStyle w:val="InternetLink"/>
            <w:rFonts w:ascii="Times New Roman;serif" w:hAnsi="Times New Roman;serif"/>
            <w:b w:val="false"/>
            <w:color w:val="000080"/>
            <w:sz w:val="20"/>
            <w:u w:val="single"/>
          </w:rPr>
          <w:t>Table of Content</w:t>
        </w:r>
      </w:hyperlink>
      <w:hyperlink w:anchor="i8e13d1b6f3764394b0e424082d2ac79f_7">
        <w:r>
          <w:rPr>
            <w:rStyle w:val="InternetLink"/>
            <w:rFonts w:ascii="Times New Roman;serif" w:hAnsi="Times New Roman;serif"/>
            <w:b w:val="false"/>
            <w:color w:val="000080"/>
            <w:sz w:val="20"/>
            <w:u w:val="single"/>
          </w:rPr>
          <w: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of December 31, 2025, we have facilitated 23 securitizations of HELOCs for total issuance of $7 billion. We may in the future facilitate or sponsor additional securitizations of HELOCs originated by us or our partners using our platform to allow certain of our partners, loan purchasers, and ourselves to liquidate such loans through the asset-backed securities markets.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our sponsored or co-sponsored securitizations, we sell and convey pools of HELOCs to VIEs. Each securitization variable interest entity (“VIE”) issues notes and/or certificates pursuant to the terms of indentures and trust agreements, or in the case of the warehouse credit facilities, we or the applicable warehouse VIE borrows money from lenders pursuant to master repurchase agreements. The securities issued by the securitization VIEs in asset-backed securitization transactions are secured by static pools of HELOCs originated using our platform, including the underlying documentation with respect to such HELOCs and the security interest in the related encumbered property with respect to such HELOCs, and all proceeds thereof. These securitizations are not cross-collateralized with any other financing transaction. In exchange for the sale of a portion of a given pool of HELOCs to the securitization VIE, we and/or our loan purchasers and certain partners who contribute loans to the securitization receive cash and/or securities representing debt of and/or equity interests in such securitization VIE, which are the proceeds from the sale of the securities. The equity interests in the securitization VIEs are residual interests in that they entitle the equity owners of such securitization VIEs, including us if we are an equity owner in the relevant transaction, to a certain proportion of the residual cash flows, if any, from the loans and to any assets remaining in such securitization VIEs. As a result of challenging credit and liquidity conditions, the value of the subordinated securities we or other transaction participants retain in such securitization VIEs might be reduced or, in some cases, eliminated.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also fund certain loans on our balance sheet with warehouse credit facilities from banks or non-bank lenders, or by selling loans to our warehouse credit facility VIEs, which loan sales are partially financed with associated warehouse credit facilities from banks or non-bank lenders. The warehouse credit facilities are each secured by pools of HELOCs originated using our platform and owned by the applicable VIE or us, including the underlying documentation with respect to such HELOCs and the security interest in the related encumbered property with respect to such HELOCs, and all proceeds thereof. The pools of HELOCs that secure our warehouse credit facilities are separate and independent from each other and none of our financing facilities are cross-collateralized. In addition, we have implemented and maintain an interest rate hedging program designed to reduce our exposure to changes in prevailing interest rates. However, there can be no assurance that the program will be successful in eliminating all or some interest rate risks. See the sections titled “—Risks Related to Market and Interest Rates—Our loan financing and selling strategy exposes us to interest rate volatility risk” and “Management's Discussion and Analysis of Financial Condition and Results of Operations—Liquidity and Capital Resources—Warehouse Credit Facilities” for more information.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During periods of financial disruption and economic uncertainty, such as the financial crisis that began in 2008, the beginning of the COVID-19 pandemic in early 2020, and periods of significant market volatility driven by rapidly rising interest and inflation rates and recessionary concerns in 2022 and 2023, the securitization market has been constrained. These conditions can limit access to capital and increase the cost of securitization. Given the potential for continued economic challenges, such as geopolitical tensions, supply chain disruptions, and evolving monetary policies, the securitization market could experience further constraints in the future. Notably, in times of economic distress, creditors may desire to reduce consumers’ credit limits and thereby their ability to continue making draws on their HELOCs, but the TILA’s implementing regulation, Regulation Z, limits their ability to do so unless certain specified circumstances are present, such as the value of the security property declining significantly below its appraised value for purposes of the HELOC. This limitation may further drive constraints in the securitization market. In addition, other matters, such as (i) accounting standards applicable to securitization transactions and (ii) capital and leverage requirements applicable to banks and other regulated financial institutions holding asset-backed securities, could result in decreased institutional investor demand for securities issued through our securitization transactions, or increased competition from other institutions that undertake securitization transactions. In addition, compliance with certain regulatory requirements, including the Dodd-Frank Act, the Investment Company Act, and the so-called “Volcker Rule,” may affect the type of securitizations that we are able to complete.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If it is not possible or economical for us to securitize loans in the future, we may need to seek alternative financing to support our loan funding programs and to meet our existing debt obligations. Such funding may not be available on commercially reasonable terms, or at all. If the cost of such loan funding mechanisms were to be higher than that of our securitizations, the fair value of the loans would likely be reduced, which would negatively impact our results of operations. If we are unable to access such financing, our ability to originate loans and our business, financial condition, and results of operations could be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180"/>
        <w:jc w:val="left"/>
        <w:rPr/>
      </w:pPr>
      <w:hyperlink w:anchor="i8e13d1b6f3764394b0e424082d2ac79f_7">
        <w:r>
          <w:rPr>
            <w:rStyle w:val="InternetLink"/>
            <w:rFonts w:ascii="Times New Roman;serif" w:hAnsi="Times New Roman;serif"/>
            <w:b w:val="false"/>
            <w:color w:val="000080"/>
            <w:sz w:val="20"/>
            <w:u w:val="single"/>
          </w:rPr>
          <w:t>Table of Content</w:t>
        </w:r>
      </w:hyperlink>
      <w:hyperlink w:anchor="i8e13d1b6f3764394b0e424082d2ac79f_7">
        <w:r>
          <w:rPr>
            <w:rStyle w:val="InternetLink"/>
            <w:rFonts w:ascii="Times New Roman;serif" w:hAnsi="Times New Roman;serif"/>
            <w:b w:val="false"/>
            <w:color w:val="000080"/>
            <w:sz w:val="20"/>
            <w:u w:val="single"/>
          </w:rPr>
          <w: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gain on sale and related servicing fees generated by our whole loan sales, and the servicing fees based on sales of asset-backed securities, represent a substantial portion of our earnings. For the years ended December 31, 2025 and 2024, we recognized gain on sale of our whole loan sales of $145 million and $105 million, respectively, and servicing fees of $32 million and $25 million for the same period. While we have in the past recognized losses on the sale of loan and asset-backed securities, excluding losses incurred on repurchases and charge-offs, such losses have historically been minimal and, as of December 31, 2025, represented 1% of all loans originated since inception. However, we cannot be certain that losses in the future will not materially and adversely impact our business. As we hold more loans on our balance sheet or hold loans for longer periods while interest rates rise, our business, financial condition, and results of operations could be adversely affected, including further reductions in revenue.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cannot assure you that our loan purchasers will continue to purchase loans or securities, either through whole loan sales or asset-backed securities, or that loan purchasers will continue to purchase loans in transactions that generate the same spreads and/or fees that we have historically obtained. Factors that may affect loan purchaser demand for loans include: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competition in the whole loan sales and securitization markets where we compete with loan originators and other issuers who can sell either larger loan portfolios or loans, or securitize or sell loan portfolios (which may include loans originated by us or our partners using our platform, on a commingled basis or otherwise) that have characteristics, pricing and terms that may be perceived to be more desirable to certain loan purchasers on the secondary market than those offered in loans originated by us or by our partners using our platform (and purchased by us and/or contributed to asset-based securitization transactions that we facilitate);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extent to which servicing fees and other expenses increase due to delinquencies or defaults may reduce overall net return on purchased pools of HELOCs;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actual or perceived credit performance and loan grade and term mix of the portfolios of loans offered for sale;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loan purchasers’ sector and company investment diversification requirements and strategies;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higher-yield investment opportunities at a risk profile deemed similar to our sold loan portfolios;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customer prepayment behavior within the underlying pools;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regulatory or investment practices related to maintaining net asset value, mark-to-market and similar metrics surrounding pools of purchased HELOCs;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ability of our loan purchasers to access funding and liquidity channels, including warehouse financing and securitization markets, on terms they find acceptable to deliver an appropriate return net of funding costs, as well as general economic conditions and market trends, such as increasing interest rates, that affect the appetite for loan financing investments.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Though certain of our current loan purchasers have committed to minimum purchase volumes, these commitments are generally for short periods of less than six months. We impose a breakage fee on certain of our loan purchasers in the event of failure to satisfy their commitment during the related commitment period, but the loan purchasers may choose to pay the breakage fee by purchasing HELOCs instead of satisfying their loan commitment volume.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Potential loan purchasers in our loan funding programs may also demand a lower price on our loans and loan financing products during periods of economic slowdown or recession to compensate for any increased risks. A reduction in the sale price of the loans and loan financing products we sell would negatively impact our revenues, operations, and returns. For example, as interest rates have increased, loan purchasers on the secondary market have reduced the prices they are willing to pay to purchase certain loans we hold, which had been originated during an earlier, lower interest rate environment, and which negatively impacted our revenue. Any sustained decline in demand for loans or loan financing products, or any increase in delinquencies, defaults or losses that result from economic downturns, may also reduce the price we receive on future loan sales.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In connection with our loan funding programs, we make representations and warranties concerning the loans sold, and if such representations and warranties are not accurate when made, we could be required to repurchase the applicable loans or indemnify the purchaser.</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our loan funding programs, including direct sales, warehouse financings, and asset-backed securitizations, we make numerous representations and warranties concerning the characteristics of the HELOCs and other loans sold and transferred under such transactions, including, among other things, representations and warranties that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180"/>
        <w:jc w:val="left"/>
        <w:rPr/>
      </w:pPr>
      <w:hyperlink w:anchor="i8e13d1b6f3764394b0e424082d2ac79f_7">
        <w:r>
          <w:rPr>
            <w:rStyle w:val="InternetLink"/>
            <w:rFonts w:ascii="Times New Roman;serif" w:hAnsi="Times New Roman;serif"/>
            <w:b w:val="false"/>
            <w:color w:val="000080"/>
            <w:sz w:val="20"/>
            <w:u w:val="single"/>
          </w:rPr>
          <w:t>Table of Content</w:t>
        </w:r>
      </w:hyperlink>
      <w:hyperlink w:anchor="i8e13d1b6f3764394b0e424082d2ac79f_7">
        <w:r>
          <w:rPr>
            <w:rStyle w:val="InternetLink"/>
            <w:rFonts w:ascii="Times New Roman;serif" w:hAnsi="Times New Roman;serif"/>
            <w:b w:val="false"/>
            <w:color w:val="000080"/>
            <w:sz w:val="20"/>
            <w:u w:val="single"/>
          </w:rPr>
          <w: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loans were originated and serviced in compliance with applicable law and with our credit risk origination policy and servicing guidelines and that each loan was originated by us without any fraud or misrepresentation on our part or, to our knowledge, on the part of the customer or any other person. If those representations and warranties are not accurate when made and are not timely cured or incurable, we may be required to repurchase the underlying loans, replace the affected loans with other loans or make a loss of value payment, as the case may be. Failure to repurchase such loans could constitute a default, an event of default, or a termination event under the agreements governing our various loan funding programs and could require us to indemnify certain financing parties. Through December 31, 2024, we repurchased an immaterial number of HELOCs that we or our partners originated as a result of inaccurate representations and warranties. While only a small number of HELOCs have been historically repurchased by us, there can be no assurance that we would have adequate cash or other qualifying assets available to make such repurchases if and when required. Such repurchases could be limited in scope, relating to small pools of HELOCs, or significant in scope, across multiple pools of HELOCs. If we were required to make such repurchases and if we do not have adequate liquidity to fund such repurchases, our business, financial condition, and results of operations could be adversely affected.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addition to loan level representations and warranties, our agreements with the lenders and investors on our securitizations and warehouse credit facilities contain a number of corporate financial covenants and early payment triggers and performance covenants. These facilities are the primary funding sources available to support the maintenance and growth of our business, and our liquidity would be adversely affected by our inability to comply with the various covenants and other specified requirements set forth in our agreements with our lenders and investors, which could result in the early amortization, default and/or acceleration of our existing facilities. Such covenants and requirements include financial covenants, and other events. For a description of these covenants, requirements, and events, see the section titled “Management's Discussion and Analysis of Financial Condition and Results of Operations—Liquidity and Capital Resources—Debt Obligations.”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During an early amortization period or upon the occurrence of a termination event or an event of default, principal collections from the loans in our asset-backed facilities would be applied to repay principal under such facilities rather than be available to fund newly originated loans. Upon the occurrence of a termination event or an event of default under any of our warehouse facilities or indentures that govern our securitizations, the applicable lenders or noteholders could accelerate the related debt and, in the case of most of our warehouse lenders, terminate the related facility. If we were unable to repay the amounts due and payable under such facilities and securitizations, the applicable lenders and noteholders could seek remedies, including against the collateral pledged under such facilities and by the securitization trust. An acceleration of the debt under certain facilities could also lead to a default under other facilities due to cross-default and cross-acceleration provisions.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An early amortization event or event of default would negatively impact our liquidity, including our ability to originate new loans, and require us to rely on alternative funding sources, which might increase our funding costs or which might not be available when needed. If we were unable to arrange new or alternative methods of financing on favorable terms, we might have to hold loans on our balance sheet in an amount that may negatively impact our financial condition, or curtail or cease the origination of loans, which could impair our growth, and, in each case, adversely affect our business, financial condition, and results of operations, which in turn could adversely affect our ability to meet our obligations under our facilities.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Risks Related to Digital Assets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A particular digital asset, product or service’s status as a “security” in any relevant jurisdiction is subject to a high degree of uncertainty and if we are unable to properly characterize a digital asset or product offering, or if the regulatory framework with respect to digital assets changes, we may be subject to regulatory scrutiny, inquiries, investigations, fines, and other penalties, which may adversely affect our business, operating results, and financial condition.</w:t>
      </w:r>
    </w:p>
    <w:p>
      <w:pPr>
        <w:pStyle w:val="TextBody"/>
        <w:bidi w:val="0"/>
        <w:spacing w:lineRule="auto" w:line="288" w:before="0" w:after="180"/>
        <w:jc w:val="both"/>
        <w:rPr/>
      </w:pPr>
      <w:r>
        <w:rPr>
          <w:rFonts w:ascii="Times New Roman;serif" w:hAnsi="Times New Roman;serif"/>
          <w:b w:val="false"/>
          <w:color w:val="000000"/>
          <w:sz w:val="20"/>
        </w:rPr>
        <w:t xml:space="preserve">The SEC and its staff have taken the position that a range of digital assets, products and services fall within the definition of a “security” under the U.S. federal securities laws. Despite the SEC being the principal federal securities law regulator in the United States, whether or not an asset, product or service is a security or the offering thereof constitutes a securities offering under federal securities laws currently depends on the application of various judicial precedents interpreting the definition of a “security” under the U.S. federal securities laws. To date, the principal legal test that has been applied in analyzing the application of the U.S. federal securities laws to a given digital asset, product or service is the test set forth in the 1946 Supreme Court case </w:t>
      </w:r>
      <w:r>
        <w:rPr>
          <w:rFonts w:ascii="Times New Roman;serif" w:hAnsi="Times New Roman;serif"/>
          <w:b w:val="false"/>
          <w:i/>
          <w:color w:val="000000"/>
          <w:sz w:val="20"/>
        </w:rPr>
        <w:t>SEC v. W.J. Howey Co.</w:t>
      </w:r>
      <w:r>
        <w:rPr>
          <w:color w:val="000000"/>
        </w:rPr>
        <w:t xml:space="preserve"> </w:t>
      </w:r>
      <w:r>
        <w:rPr>
          <w:rFonts w:ascii="Times New Roman;serif" w:hAnsi="Times New Roman;serif"/>
          <w:b w:val="false"/>
          <w:color w:val="000000"/>
          <w:sz w:val="20"/>
        </w:rPr>
        <w:t xml:space="preserve">for identifying an “investment contract” that constitutes a “security.” In certain contexts, especially in the context of digital asset yield and earn offerings, the SEC and private plaintiffs have also invoked the test in the 1990 Supreme Court case </w:t>
      </w:r>
      <w:r>
        <w:rPr>
          <w:rFonts w:ascii="Times New Roman;serif" w:hAnsi="Times New Roman;serif"/>
          <w:b w:val="false"/>
          <w:i/>
          <w:color w:val="000000"/>
          <w:sz w:val="20"/>
        </w:rPr>
        <w:t>Reves v. Ernst &amp; Young</w:t>
      </w:r>
      <w:r>
        <w:rPr>
          <w:color w:val="000000"/>
        </w:rPr>
        <w:t xml:space="preserve"> </w:t>
      </w:r>
      <w:r>
        <w:rPr>
          <w:rFonts w:ascii="Times New Roman;serif" w:hAnsi="Times New Roman;serif"/>
          <w:b w:val="false"/>
          <w:color w:val="000000"/>
          <w:sz w:val="20"/>
        </w:rPr>
        <w:t xml:space="preserve">for identifying a “note” that constitutes a “security.” The application of these and other relevant judicial precedents requires a highly complex, fact-driven analysis.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180"/>
        <w:jc w:val="left"/>
        <w:rPr/>
      </w:pPr>
      <w:hyperlink w:anchor="i8e13d1b6f3764394b0e424082d2ac79f_7">
        <w:r>
          <w:rPr>
            <w:rStyle w:val="InternetLink"/>
            <w:rFonts w:ascii="Times New Roman;serif" w:hAnsi="Times New Roman;serif"/>
            <w:b w:val="false"/>
            <w:color w:val="000080"/>
            <w:sz w:val="20"/>
            <w:u w:val="single"/>
          </w:rPr>
          <w:t>Table of Content</w:t>
        </w:r>
      </w:hyperlink>
      <w:hyperlink w:anchor="i8e13d1b6f3764394b0e424082d2ac79f_7">
        <w:r>
          <w:rPr>
            <w:rStyle w:val="InternetLink"/>
            <w:rFonts w:ascii="Times New Roman;serif" w:hAnsi="Times New Roman;serif"/>
            <w:b w:val="false"/>
            <w:color w:val="000080"/>
            <w:sz w:val="20"/>
            <w:u w:val="single"/>
          </w:rPr>
          <w: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Accordingly, whether any given digital asset, product or service may ultimately be deemed to be a security is uncertain and difficult to predict notwithstanding the conclusions of the SEC or any conclusions we may draw based on our risk-based assessment regarding the likelihood that a particular digital asset, product or service could be deemed a “security” or “securities offering” under applicable laws. Adding to the complexity, the SEC staff has indicated that the security status of a particular digital asset can change over time as the relevant facts evolve.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With limited exception, the SEC and its staff generally do not provide advance guidance of the status of any particular digital asset, product or service as a security or the offering or sale thereof as a securities offering. For example, the SEC’s Strategic Hub for Innovation and Financial Technology published a framework for analyzing whether any given digital asset is a security in April 2019. The SEC staff has also issued certain no-action letters and has brought various enforcement actions and entered into settlements with numerous digital asset economy participants alleging that certain digital assets or digital asset related products or services constituted a securities offering. However, these statements, framework and settled enforcement actions are not rules or regulations of the SEC, and are not binding on the SEC or courts. For instance, on April 5, 2025, then-acting SEC Chair Mark Uyeda announced that the SEC is conducting a review of the April 2019 digital asset security framework and other related guidance issued between 2019 and 2022 to determine whether to rescind or modify such guidance. There is therefore no certainty as to whether particular digital assets, products or services are securities or whether the offering of any such digital assets, products or services constitutes a securities offering or implicates a security offering, in each case under the U.S. federal securities laws. Moreover, the SEC and the Commodity Futures Trading Commission (the “CFTC”) and their senior officials have, at times, taken conflicting positions in public statements and enforcement actions as to whether a particular digital asset is a security. Furthermore, the views of the SEC and its staff in this area have evolved over time, and, at times, have appeared contradictory.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Additionally, the Securities Act does not preempt U.S. state law with respect to determining whether a digital asset, product or service is a security. Each state has the right to enforce its own securities laws and may ultimately determine that a digital asset, product or service is a security even if the SEC has elected not to pursue enforcement or it or its staff have given assurances that it would not do so, or a digital asset, product or service is otherwise excluded from the meaning of a security at the federal level.</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It is also possible that the current administration and the composition of the SEC could substantially impact the future views or approach to enforcement by the SEC and its staff. For example, on February 4, 2025, SEC Commissioner Hester Pierce further elaborated on some of the priorities for the SEC’s newly founded crypto task force, which include: determining the status of digital assets, as well as digital assets lending and staking products, under the federal securities laws; identifying the scope of the SEC’s jurisdiction through no-action relief; providing temporary prospective and retroactive relief for coin offerings for which the issuing entity provides certain information and agrees not to contest the SEC’s jurisdiction in the event of fraud allegations; modifying existing paths to registration, such as Regulation A and Regulation Crowdfunding; updating the special-purpose broker-dealer no-action statement to, among other things, cover broker-dealers that are custodians of digital asset securities alongside digital assets that are not securities; developing a framework within which investment advisers can have custody of client digital assets themselves or with a third party; approving self-regulatory organization proposed rule changes to list new types of digital assets exchange-traded products, including to allow for staking and in-kind creations and redemptions; revising clearing agency and transfer agent rules to allow for the tokenization of securities and other uses of blockchain technology; and facilitating cross-border experimentation. Additionally, in the first and second quarters of 2025, the SEC consented to the dismissal of certain ongoing civil enforcement actions and the closing of investigations into certain entities in the digital asset industry. During the same period, the SEC’s Division of Corporation Finance also issued a statement regarding meme coins and the circumstances under which the staff would not view such assets as securities, which was followed by additional statements at the end of the first quarter and in the second quarter of 2025 providing guidance surrounding the applicability of the securities laws with regard to topics such as Proof-of-Work (“PoW”) Mining Activities, certain stablecoins, Proof-of-Stake (“PoS”) consensus mechanisms, protocol staking, liquid staking tokens, and digital asset-related disclosures in securities offering and registration statements. The SEC also hosted a series of five roundtables between March and June of 2025 on topics relating to defining the security status of digital assets, tailoring regulation for digital asset trading, custody of digital assets, tokenization, and DeFi. Further, the U.S. Department of Justice issued a memorandum in April 2025 indicating that it will prioritize cases related to the use of digital assets in crimes of fraud, terrorism, drugs and human trafficking, organized crime, hacking and gang financing, and that other cases related to digital assets will have less priority.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classification of a digital asset, product, or service as a security under applicable law has wide-ranging implications for the regulatory obligations that flow from the offer, sale, trading, and clearing, as applicable, of such assets, products, or services. For example, a digital asset, product, or service that is a security in the United States may generally only be offered or sold in the United States pursuant to a registration statement filed with the SEC or in an offering that qualifies for an exemption from registration. Persons that effect transactions in digital assets, products, or services that are securities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180"/>
        <w:jc w:val="left"/>
        <w:rPr/>
      </w:pPr>
      <w:hyperlink w:anchor="i8e13d1b6f3764394b0e424082d2ac79f_7">
        <w:r>
          <w:rPr>
            <w:rStyle w:val="InternetLink"/>
            <w:rFonts w:ascii="Times New Roman;serif" w:hAnsi="Times New Roman;serif"/>
            <w:b w:val="false"/>
            <w:color w:val="000080"/>
            <w:sz w:val="20"/>
            <w:u w:val="single"/>
          </w:rPr>
          <w:t>Table of Content</w:t>
        </w:r>
      </w:hyperlink>
      <w:hyperlink w:anchor="i8e13d1b6f3764394b0e424082d2ac79f_7">
        <w:r>
          <w:rPr>
            <w:rStyle w:val="InternetLink"/>
            <w:rFonts w:ascii="Times New Roman;serif" w:hAnsi="Times New Roman;serif"/>
            <w:b w:val="false"/>
            <w:color w:val="000080"/>
            <w:sz w:val="20"/>
            <w:u w:val="single"/>
          </w:rPr>
          <w: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the United States may be subject to registration with the SEC as a “broker” or “dealer.” Platforms that bring together purchasers and sellers to trade digital assets that are securities in the United States are generally subject to registration as national securities exchanges, or must qualify for an exemption, such as by being operated by a registered broker-dealer as an ATS in compliance with the SEC’s rules for ATSs. Persons facilitating clearing and settlement of securities may be subject to registration with the SEC as a clearing agency. Subject to certain exceptions and exclusions, companies may be deemed investment companies, subject to registration as such, if: (a) they are engaged in the business of investing, reinvesting, or trading in securities; or (b) if the value of its investment securities is more than 40% of its total assets (exclusive of government securities and cash items) on a consolidated basis. Foreign jurisdictions may have similar licensing, registration, and qualification requirements.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have policies and procedures to analyze whether each digital asset that we seek to facilitate trading of on Figure Exchange, as well as our products and services, could be deemed to be a “security” under applicable laws. Our policies and procedures do not constitute a legal standard, but rather represent our company-developed model, which we use to make a risk-based assessment regarding the likelihood that a particular digital asset, product, or service could be deemed a “security” under applicable laws. There is no guarantee that our application of these policies and procedures will be effective in assessing the regulatory categorization of any given digital asset, and the SEC, state regulatory authorities, private plaintiffs, or a court applying applicable securities laws may reach a conclusion at odds with our ultimate assessment.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Although we have an SEC-registered broker-dealer subsidiary, Figure Securities, Inc. (“Figure Securities”), we facilitate most trading activity in digital assets in the United States through our money transmitter subsidiary, Figure Payments Corporation. Because Figure Payments Corporation is not registered or licensed with the SEC or foreign authorities as a broker-dealer, national securities exchange, or ATS (or foreign equivalents), we only permit it to facilitate trading of those digital assets, and offer products and services, for which we determine there are reasonably strong arguments to conclude that the digital asset, product, or service should not be classified as a security. We believe that our process reflects a comprehensive and thoughtful analysis and is reasonably designed to facilitate consistent application of available legal guidance on digital assets, products, and services and to facilitate informed risk-based business judgment. We recognize that the application of securities laws to the specific facts and circumstances of digital assets, products, and services may be complex and subject to change, and that a listing determination does not guarantee any conclusion under the U.S. federal, state, or foreign securities laws. Regardless of our conclusions, we could in the future be subject to legal or regulatory action in the event the SEC or a state or foreign regulatory authority were to assert, or a court were to determine, that a supported digital asset, product, or service offered, sold, or traded on Figure Exchange or a product or service that we offer as a non-security is later deemed a “security” under applicable laws. There can be no assurance that we will properly characterize over time any given digital asset, product, or service offering as a security or non-security, or that the SEC, state, foreign regulatory authority, or a court having final determinative authority on the topic, if the question were presented to it, would agree with our assessment. We expect our risk assessment policies and procedures to continuously evolve to take into account case law, legislative developments, facts, and developments in technology.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If an applicable regulatory authority or a court, in either case having final determinative authority on the topic, were to determine that a supported digital asset, product or service currently offered, sold, or traded on Figure Exchange is a security, we would not be able to offer such digital asset for trading, or product or service on Figure Exchange, until we are able to do so in a compliant manner. A determination by the SEC, a state or foreign regulatory authority, or a court that an asset that we currently support for trading on Figure Exchange, or product or service that we offer on Figure Exchange, constitutes a security may result in us removing that digital asset from or ceasing to offer that product or service on Figure Exchange, and may also result in us determining that it is advisable to remove assets from Figure Exchange, or to cease offering products and services on Figure Exchange, that have similar characteristics to the asset, product or service that was alleged or determined to be a security. Alternatively, we may determine not to remove a particular digital asset from Figure Exchange or to continue to offer a product or service on Figure Exchange even if the SEC or another regulator alleges that the digital asset, product or service is a security, pending a final judicial determination as to that digital asset, product or service’s proper characterization, and the fact that we waited for a final judicial determination would generally not preclude penalties or sanctions against us for our having previously made Figure Exchange available for trading that digital asset or offering that product or service on Figure Exchange without registering as a national securities exchange or ATS; as a broker-dealer or investment company; or the tokens that we may issue as securities. As such, we could be subject to judicial or administrative sanctions for failing to offer or sell the digital asset, product or service in compliance with the registration requirements, or for acting as a broker, dealer, national securities exchange, clearing agency, or investment company without appropriate registration or an available exemption or exclusion. Such an action could result in injunctions, cease and desist orders, as well as civil monetary penalties, fines, and disgorgement, criminal liability, and reputational harm. Customers that traded such supported digital asset on Figure Exchange and suffered trading losses could also seek to rescind a transaction that we facilitated on the basis that it was conducted in violation of applicable law, which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180"/>
        <w:jc w:val="left"/>
        <w:rPr/>
      </w:pPr>
      <w:hyperlink w:anchor="i8e13d1b6f3764394b0e424082d2ac79f_7">
        <w:r>
          <w:rPr>
            <w:rStyle w:val="InternetLink"/>
            <w:rFonts w:ascii="Times New Roman;serif" w:hAnsi="Times New Roman;serif"/>
            <w:b w:val="false"/>
            <w:color w:val="000080"/>
            <w:sz w:val="20"/>
            <w:u w:val="single"/>
          </w:rPr>
          <w:t>Table of Content</w:t>
        </w:r>
      </w:hyperlink>
      <w:hyperlink w:anchor="i8e13d1b6f3764394b0e424082d2ac79f_7">
        <w:r>
          <w:rPr>
            <w:rStyle w:val="InternetLink"/>
            <w:rFonts w:ascii="Times New Roman;serif" w:hAnsi="Times New Roman;serif"/>
            <w:b w:val="false"/>
            <w:color w:val="000080"/>
            <w:sz w:val="20"/>
            <w:u w:val="single"/>
          </w:rPr>
          <w: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could subject us to significant liability. We may also be required to cease facilitating transactions in the supported digital asset other than via our licensed subsidiaries, which could negatively impact our business, operating results, and financial condition. Additionally, the SEC has brought and may in the future bring enforcement actions against other digital asset market participants and their product offerings and services that may cause us to modify or discontinue a product offering or service on Figure Exchange. If we were to modify or discontinue any product offering or service or remove any assets from trading on Figure Exchange for any reason, our decision may be unpopular with users, may reduce our ability to attract and retain customers (especially if similar products, services or such assets continue to be offered or traded on unregulated exchanges, which includes many of our competitors), and may adversely affect our business, operating results, and financial condition.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Further, if Bitcoin, Ether, certain stablecoins or any other supported digital asset were deemed to be a security under any U.S. federal, state, or foreign jurisdiction, or in a proceeding in a court of law or otherwise, it may have adverse consequences for such supported digital asset. For instance, all transactions in such supported digital asset may have to be registered with the SEC or other foreign authority, or else be conducted in accordance with an exemption from registration, which could severely limit its liquidity, usability and transactability. Moreover, the network on which such supported digital asset is utilized may be required to be regulated or registered as a securities intermediary in one or more different capacities, and thus subject to applicable rules, which could effectively render the network impracticable or inoperable for its existing purposes. Further, it could draw negative publicity and a decline in the general acceptance of the digital asset. Also, it may make it difficult for such supported digital asset to be traded, cleared, settled, and custodied as compared to other digital assets that are not considered to be securities. Specifically, even if transactions in a digital asset were registered with the SEC or conducted in accordance with an exemption from registration, the current intermediary-based framework for securities trading, clearance and settlement is not consistent with the operations of the digital asset market. For example, until recently, the SEC took the position that digital assets that are securities cannot be held on behalf of customers by broker-dealers that also support activity in traditional securities, and the SEC has not permitted public permissionless blockchain-based clearance and settlement systems for securities. While the SEC has updated its guidance to be less prohibitive, there is still no regulatory clarity on whether or how a broker-dealer can custody digital asset securities for customers. While our broker-dealer subsidiary, Figure Securities, has permission to operate an ATS for digital asset securities, Figure Securities is limited in the type of securities it can facilitate trading in, and is not permitted to itself custody customers’ securities.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Beyond the United States, several foreign jurisdictions, including jurisdictions where our international operations are located, have taken a broad-based approach to classifying digital assets, products and services as “securities,” while other foreign jurisdictions, such as Switzerland, Malta, and Singapore, have adopted a narrower approach. As a result, certain digital assets, products or services may be deemed to be a “security” under the laws of some jurisdictions but not others. Various foreign jurisdictions may, in the future, adopt additional laws, regulations, or directives that affect the characterization of digital assets, products or services as “securities.”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Due to unfamiliarity and some negative publicity associated with digital asset platforms, confidence or interest in digital asset platforms may decline.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Digital asset platforms are relatively new. Some of our competitors are unlicensed, unregulated, operate without supervision by any governmental authorities, and do not provide the public with significant information regarding their ownership structure, management team, corporate practices, cybersecurity, and regulatory compliance. As a result, customers and the general public may lose confidence or interest in digital asset platforms, including regulated platforms like ours.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Since the inception of the digital asset economy, numerous digital asset platforms have been sued, investigated, or shut down due to fraud, manipulative practices, business failure, insolvency, and security breaches. In many of these instances, customers of these platforms were not compensated or made whole for their losses. Platforms like ours are appealing targets for hackers and malware, and may also be targets of regulatory enforcement actions. In addition, there have been reports that a significant amount of the apparent digital asset trading volume on digital asset platforms may be inflated or otherwise fabricated and false in nature, with a specific focus on unregulated platforms located outside the United States. Such reports may indicate that the market for digital asset platform activities is significantly smaller than otherwise understood.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Negative perception, a lack of stability and standardized regulation in the digital asset market, and the closure or temporary shutdown of digital asset platforms due to fraud, business failure, hackers or malware, or government mandated regulation, and associated losses suffered by customers, may continue to reduce confidence or interest in the digital asset economy and result in greater volatility of the prices of assets, including significant depreciation in value. Any of these events could have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180"/>
        <w:jc w:val="left"/>
        <w:rPr/>
      </w:pPr>
      <w:hyperlink w:anchor="i8e13d1b6f3764394b0e424082d2ac79f_7">
        <w:r>
          <w:rPr>
            <w:rStyle w:val="InternetLink"/>
            <w:rFonts w:ascii="Times New Roman;serif" w:hAnsi="Times New Roman;serif"/>
            <w:b w:val="false"/>
            <w:color w:val="000080"/>
            <w:sz w:val="20"/>
            <w:u w:val="single"/>
          </w:rPr>
          <w:t>Table of Content</w:t>
        </w:r>
      </w:hyperlink>
      <w:hyperlink w:anchor="i8e13d1b6f3764394b0e424082d2ac79f_7">
        <w:r>
          <w:rPr>
            <w:rStyle w:val="InternetLink"/>
            <w:rFonts w:ascii="Times New Roman;serif" w:hAnsi="Times New Roman;serif"/>
            <w:b w:val="false"/>
            <w:color w:val="000080"/>
            <w:sz w:val="20"/>
            <w:u w:val="single"/>
          </w:rPr>
          <w: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an adverse impact on our business and our customers’ perception of us, including decreased use of Figure Exchange and loss of customer demand for our products and services.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Depositing and withdrawing digital assets into and from Figure Exchange involve risks, which could result in loss of customer assets, customer disputes and other liabilities, and adversely impact our business, financial condition, and results of operations.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order to own, transfer and use a digital asset on its underlying blockchain network, a person must have a private and public key pair associated with a network address, commonly referred to as a “wallet.” Each wallet is associated with a unique “public key” and “private key” pair, each of which is a string of alphanumerical characters. In addition, some digital asset networks require additional information to be provided in connection with any transfer of digital assets to or from Figure Exchange. A number of errors can occur in the process of depositing or withdrawing digital assets into or from Figure Exchange, such as typos, mistakes, or the failure to include the information required by the blockchain network. Alternatively, a user may unintentionally transfer digital assets to a wallet address that the user does not own, control or hold the private keys to. A malicious actor may also take over our customer’s account due to security problems outside of our control, such as malware in the customer’s browser or other account theft/takeover scenarios on the customer side. In addition, each wallet address is generally only compatible with the underlying blockchain network on which it is created. For instance, a Bitcoin wallet address can only be used to send and receive Bitcoins. If any Ether or other digital assets are sent to a Bitcoin wallet address, or if any of the foregoing errors occur, all of the customer’s sent digital assets will be permanently and irretrievably lost with no means of recovery. We have encountered and expect to continue to encounter similar incidents with our customers. Such incidents could result in customer disputes, damage to our brand and reputation, legal claims against us, and financial liabilities, any of which could adversely affect our business, financial condition, and results of operations.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have not experienced excessive redemptions or withdrawals, or prolonged suspended redemptions or withdrawals, of digital assets to date. However, similar to traditional financial institutions, we may experience temporary process-related withdrawal delays. For example, we, and traditional financial institutions, may experience such delays if there is a significant volume of withdrawal requests that is vastly beyond anticipated levels. This does not mean we cannot or will not satisfy withdrawals, but this may mean a temporary delay in satisfying withdrawal requests. To the extent we have process-related delays, even if brief or due to blockchain network congestion or heightened redemption activity, and even within the terms of an applicable user agreement or otherwise communicated by us, we may experience increased customer complaints and damage to our brand and reputation and face additional regulatory scrutiny, any of which could adversely affect our business.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failure to safeguard and manage our and our customers’ fiat currencies and digital assets could adversely impact our business, financial condition, and results of operations.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hold fiat currencies on behalf of our customers and support digital assets via self custody. Our expanding number of regulated entities rely on hot wallets, as well as a small but increasing number of FBO (for the benefit of our customers) bank accounts, which heightens the complexity of our operations, including fiat and blockchain reconciliations and the maintenance of our internal ledger and related accounting procedures. With respect to digital assets, we also rely on MPC based wallets, which rely on cryptographic protocols that require the holders of multiple, partial private key shares to agree in order to sign and authorize wallet transactions and activities. Sub-custodial arrangements among our various regulated entities adds to the operational complexity of our international operations. Delays, errors, or failures in these operations could result in investigations, regulatory and enforcement actions, or litigation, and adversely impact our business, financial condition, and results of operations. Our subsidiary Figure Equity Solutions, Inc., which is registered with the SEC as a transfer agent, serves as the record keeper and the manager of the master policyholder record for YLDS and any digital securities traded on our ATS, including our Blockchain Stock. For its private funds, Figure Markets has an agreement with a third-party fund administrator that handles the accounting for those funds. For those securities for which it acts as transfer agent, Figure Equity Solutions, Inc., maintains transaction information, such as wallet address, asset balance, ownership percentage, number of shares or units, and date of purchase, on the blockchain and personal information, such as the investor’s name, address and other contact information, tax identification number, and other identifying or non-public information, off-chain within Figure Equity Solutions, Inc.’s proprietary systems. DART is part of a dual registry for real property records. DART Collateral Manager LLC acts as the trustee for platform-originated loans. DART Collateral Manager LLC facilitates and documents subsequent transfers. DART monitors all DART Collateral Manager LLC transactions and automatically updates the DART registry with real-time control changes. All DART records are stored on-chain and security interests reflected on the DART registry are recognized by Figure Connect participants via their assent to uniform DART Participation Rules. Our internal accounting team performs a fiat reconciliation, at a minimum, once quarterly to reconcile incoming wires, with automated checks also existing to reconcile security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180"/>
        <w:jc w:val="left"/>
        <w:rPr/>
      </w:pPr>
      <w:hyperlink w:anchor="i8e13d1b6f3764394b0e424082d2ac79f_7">
        <w:r>
          <w:rPr>
            <w:rStyle w:val="InternetLink"/>
            <w:rFonts w:ascii="Times New Roman;serif" w:hAnsi="Times New Roman;serif"/>
            <w:b w:val="false"/>
            <w:color w:val="000080"/>
            <w:sz w:val="20"/>
            <w:u w:val="single"/>
          </w:rPr>
          <w:t>Table of Content</w:t>
        </w:r>
      </w:hyperlink>
      <w:hyperlink w:anchor="i8e13d1b6f3764394b0e424082d2ac79f_7">
        <w:r>
          <w:rPr>
            <w:rStyle w:val="InternetLink"/>
            <w:rFonts w:ascii="Times New Roman;serif" w:hAnsi="Times New Roman;serif"/>
            <w:b w:val="false"/>
            <w:color w:val="000080"/>
            <w:sz w:val="20"/>
            <w:u w:val="single"/>
          </w:rPr>
          <w: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entitlements to digital assets held by customer products that rely on off-chain systems or records include records of ownership filed with local recorder of deeds offices throughout the United States for real-estate secured loans, including HELOCs and DSCR loans, and the filing of UCC-1 financing statements with secretaries of state, where applicable, for digital assets-backed secured personal loans. All other records should be considered to be on-chain, with reconciliation performed automatically, in real time based on changes made by the owner or controller of the asset in Portfolio Manager, impacting the information available on the blockchain.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ability to manage and accurately safeguard our customers’ assets requires a high level of internal controls. As our business continues to grow and we expand our product and service offerings, we must continue to strengthen our associated internal controls and ensure that our third-party service providers do the same. Our success and the success of our offerings requires significant public confidence in our ability to properly manage customers’ balances and handle large and growing transaction volumes and amounts of customer funds. Any failure by us to maintain the necessary controls or to manage customer digital assets and funds appropriately and in compliance with applicable regulatory requirements could result in reputational harm or significant financial losses, lead customers to discontinue or reduce their use of our products, and result in significant penalties and fines and additional restrictions, which could adversely impact our business, operating results, and financial condition. For example, on February 21, 2025, Bybit, a digital asset exchange based in Dubai, suffered an exploit resulting in the loss of over $1 billion in digital assets from cold wallets used by Bybit to hold digital assets on the Ethereum network. While understanding of the precise nature and cause of the exploit continues to evolve, current analyses suggest potential involvement of state actors, social engineering attacks, and sophisticated exploits of vulnerabilities in the web interface utilized by Bybit to initiate transactions out of multi-signature cold wallets operated by Bybit.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deposit, transfer, and have custody of customer cash and digital assets in multiple jurisdictions. In each instance, we are required to safeguard customers’ assets using bank-level security standards applicable to our hot wallet and storage systems, as well as our financial management systems related to such custodial functions. Our security technology is designed to prevent, detect, and mitigate inappropriate access to our systems, by internal or external threats. We believe we have developed and maintained administrative, technical, and physical safeguards designed to comply with applicable legal requirements and industry standards. However, it is nevertheless possible that hackers, employees, service providers, or others acting contrary to our policies could circumvent these safeguards to improperly access our systems or documents, or the systems or documents of our business partners, agents, or service providers, and improperly access, obtain, or misuse customer digital assets and funds. The methods used to obtain unauthorized access, disable, or degrade service or sabotage systems are also constantly changing and evolving and may be difficult to anticipate or detect for long periods of time.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also hold fiat currency and digital assets for administrative and operating purposes. While we take steps to segregate such assets from our user assets, any failure to properly safeguard, manage, or account for these funds could result in financial losses, regulatory scrutiny, reputational harm, or legal liability.</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A temporary or permanent blockchain “fork” to any supported digital asset could adversely affect our business.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Blockchain protocols, including Bitcoin and Ethereum, are open source. Any user can download the software, modify it, and then propose that Bitcoin, Ethereum, or other blockchain protocol users and miners adopt the modification. When a modification is introduced and a substantial majority of users and miners or validators consent to the modification, the change is implemented and the Bitcoin, Ethereum or other blockchain networks, as applicable, remain uninterrupted. However, if less than a substantial majority of users and miners or validators consent to the proposed modification, and the modification is not compatible with the software prior to its modification, the consequence would be what is known as a “fork” (i.e., “split”) of the impacted blockchain protocol network and respective blockchain, with one prong running the pre-modified software and the other running the modified software. The effect of such a fork would be the existence of two parallel versions of the Bitcoin, Ethereum, or other blockchain protocol network, as applicable, running simultaneously, but with each split network’s digital asset lacking interchangeability.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Both Bitcoin and Ethereum protocols have been subject to “forks” that resulted in the creation of new networks, including Bitcoin Cash ABC, Bitcoin Cash SV, Bitcoin Diamond, Bitcoin Gold, Ethereum Classic, Ethereum, PoW, and others. Some of these forks have caused fragmentation among platforms as to the correct naming convention for forked digital assets. Due to the lack of a central registry or rulemaking body, no single entity has the ability to dictate the nomenclature of forked digital assets, causing disagreements and a lack of uniformity among platforms on the nomenclature of forked digital assets, and which results in further confusion to customers as to the nature of assets they hold on platforms. In addition, several of these forks were contentious and as a result, participants in certain communities may harbor ill will towards other communities. As a result, certain community members may take actions that adversely impact the use, adoption, and price of Bitcoin, Ether, or any of their forked alternatives. For example, in September 2022, the Ethereum Network successfully completed its Merge, moving from a PoW model to a PoS model. EthereumPoW miners who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180"/>
        <w:jc w:val="left"/>
        <w:rPr/>
      </w:pPr>
      <w:hyperlink w:anchor="i8e13d1b6f3764394b0e424082d2ac79f_7">
        <w:r>
          <w:rPr>
            <w:rStyle w:val="InternetLink"/>
            <w:rFonts w:ascii="Times New Roman;serif" w:hAnsi="Times New Roman;serif"/>
            <w:b w:val="false"/>
            <w:color w:val="000080"/>
            <w:sz w:val="20"/>
            <w:u w:val="single"/>
          </w:rPr>
          <w:t>Table of Content</w:t>
        </w:r>
      </w:hyperlink>
      <w:hyperlink w:anchor="i8e13d1b6f3764394b0e424082d2ac79f_7">
        <w:r>
          <w:rPr>
            <w:rStyle w:val="InternetLink"/>
            <w:rFonts w:ascii="Times New Roman;serif" w:hAnsi="Times New Roman;serif"/>
            <w:b w:val="false"/>
            <w:color w:val="000080"/>
            <w:sz w:val="20"/>
            <w:u w:val="single"/>
          </w:rPr>
          <w: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disagreed with the new consensus mechanism forked the network, which resulted in the EthereumPoW network (“ETHW”). ETHW was driven by a small but vocal group of miners who wished to hold onto revenue as Ethereum switched to PoS. The vast majority of token holder votes preferred the new PoS consensus method. There was no material impact on the Ethereum network as a result of the fork. All Ether holders also became owners of ETHW tokens as a result of the fork. However, not all liquidity providers were able to trade the new token, and the ETHW token almost immediately lost most of its value.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Furthermore, forks can lead to new security concerns. For instance, when the Ethereum and Ethereum Classic networks split in July 2016, replay attacks, in which transactions from one network were rebroadcast on the other network to achieve “double-spending,” plagued platforms that traded Ether through at least October 2016, resulting in significant losses to some digital asset platforms. Similar replay attacks occurred in connection with the Bitcoin Cash and Bitcoin Cash SV network split in November 2018. Another possible result of a fork is an inherent decrease in the level of security due to the splitting of some mining power across networks, making it easier for a malicious actor to exceed 50% of the mining power of that network, and thereby making digital assets that rely on PoW more susceptible to attack, as has occurred with Ethereum Classic.</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do not believe we are required to support any fork or provide the benefit of any forked digital asset to our customers. However, we may in the future be subject to claims by customers arguing that they are entitled to receive certain forked digital assets by virtue of digital assets that they currently hold. If any customers succeed on a claim that they are entitled to receive the benefits of a forked digital asset that we do not or are unable to support, we may be required to pay significant damages, fines or other fees to compensate customers for their losses.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 fork can also divert investors from the supported digital asset to new assets on the fork that are not supported by Figure Exchange. We may not be able to support the forked digital assets for technical, legal, or other reasons. This can adversely impact the trading volume on Figure Exchange.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Future forks may occur at any time. A fork can lead to a disruption of networks and our information technology systems, cybersecurity attacks, replay attacks, or security weaknesses. Such disruption and loss could cause us to be exposed to liability, even in circumstances where we have no intention of supporting an asset compromised by a fork.</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From time to time, we may encounter technical issues in connection with the integration of supported digital assets and changes and upgrades to their underlying networks, which could adversely affect our business.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order to support a digital asset, a variety of front and back-end technical and development work is required to integrate such supported digital asset with our existing technical infrastructure. For certain digital assets, a significant amount of development work is required and there is no guarantee that we will be able to integrate successfully with any existing or future digital asset. In addition, such integration may introduce software errors or weaknesses into Figure Exchange, including our existing infrastructure. Even if such integration is initially successful, any number of technical changes, software upgrades, soft or hard forks, cybersecurity incidents, or other changes to the underlying blockchain network may occur from time to time, causing incompatibility, technical issues, disruptions, or security weaknesses to Figure Exchange. If we are unable to identify, troubleshoot and resolve any such issues successfully, we may no longer be able to support such digital asset, and Figure Exchange and technical infrastructure may be affected, all of which could adversely impact our business.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If miners or validators of any supported digital asset demand high transaction fees, our business, financial condition, and results of operations may be adversely affected.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Customers incur transaction fees when they send certain digital assets from their Figure Markets account to a non-Figure Markets account. In addition, we pay transaction fees when we move digital assets for various operational purposes, for which we do not charge our customers. Such fees have been and may continue to be unpredictable, and may vary depending on a range of factors including activity levels on the relevant blockchain network and parameters specified by the governance processes of the relevant blockchain network. In addition, for PoW and PoS networks, if the block rewards for miners or validators on any blockchain network are not sufficiently high to incentivize miners or validators, miners or validators may demand higher transaction fees, or reject low transaction fees and force users to pay higher fees, which could adversely affect our business, financial condition and results of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Future developments regarding the treatment of digital assets for U.S. and non-U.S. tax purposes could adversely impact our business, financial condition, and results of operations.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Due to the new and evolving nature of digital assets and the absence of comprehensive legal and tax guidance with respect to digital asset products and transactions, many significant aspects of the U.S. and non-U.S. tax treatment of transactions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180"/>
        <w:jc w:val="left"/>
        <w:rPr/>
      </w:pPr>
      <w:hyperlink w:anchor="i8e13d1b6f3764394b0e424082d2ac79f_7">
        <w:r>
          <w:rPr>
            <w:rStyle w:val="InternetLink"/>
            <w:rFonts w:ascii="Times New Roman;serif" w:hAnsi="Times New Roman;serif"/>
            <w:b w:val="false"/>
            <w:color w:val="000080"/>
            <w:sz w:val="20"/>
            <w:u w:val="single"/>
          </w:rPr>
          <w:t>Table of Content</w:t>
        </w:r>
      </w:hyperlink>
      <w:hyperlink w:anchor="i8e13d1b6f3764394b0e424082d2ac79f_7">
        <w:r>
          <w:rPr>
            <w:rStyle w:val="InternetLink"/>
            <w:rFonts w:ascii="Times New Roman;serif" w:hAnsi="Times New Roman;serif"/>
            <w:b w:val="false"/>
            <w:color w:val="000080"/>
            <w:sz w:val="20"/>
            <w:u w:val="single"/>
          </w:rPr>
          <w: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involving digital assets, such as the purchase and sale of digital assets on Figure Exchange, as well as the provision of staking rewards and other digital asset incentives and rewards products, are uncertain, and it is unclear whether, when and what guidance may be issued in the future on the treatment of digital asset transactions for U.S. and non-U.S. tax purposes.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2014, the U.S. Internal Revenue Service (the “IRS”) released Notice 2014-21, discussing certain aspects of “virtual currency” for U.S. federal income tax purposes and, in particular, stating that such virtual currency is “property,” is not “currency” for purposes of the rules relating to foreign currency gain or loss, and may be held as a capital asset. From time to time, the IRS has released other notices and rulings relating to the tax treatment of virtual currency or digital assets reflecting the IRS’s position on certain issues. The IRS has not addressed many other significant aspects of the U.S. federal income tax treatment of digital assets and related transactions.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There continues to be uncertainty with respect to the timing, character and amount of income inclusions for various digital asset transactions including, but not limited to lending and borrowing digital assets, and other digital asset incentives and products that we offer. Although we believe our treatment of digital asset transactions for U.S. federal income tax purposes is consistent with existing positions from the IRS and/or existing U.S. federal income tax principles, because of the rapidly evolving nature of digital asset innovations and the increasing variety and complexity of digital asset transactions and products, it is possible the IRS and various U.S. states may disagree with our treatment of certain digital asset offerings for U.S. tax purposes, which could adversely affect our customers and the vitality of our business. Similar uncertainties exist in the non-U.S. markets in which we operate with respect to direct and indirect taxes, and these uncertainties and potential adverse interpretations of tax law could impact the amount of tax we and our non-U.S. customers are required to pay, and the vitality of our platforms outside of the United States.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There can be no assurance that the IRS, the U.S. state revenue agencies, local U.S. tax authorities or non-U.S. tax authorities will not alter their respective positions with respect to digital assets in the future or that a court would uphold the treatment set forth in existing positions. It also is unclear what additional tax authority positions, regulations, or legislation may be issued in the future on the treatment of existing digital asset transactions and future digital asset innovations under U.S. federal, U.S. state or local, or non-U.S. tax law. Any such developments could result in adverse tax consequences for holders of digital assets and could have an adverse effect on the value of digital assets and the broader digital asset markets. Future technological and operational developments that may arise with respect to digital assets may increase the uncertainty with respect to the treatment of digital assets for U.S. and non-U.S. tax purposes. The uncertainty regarding tax treatment of digital asset transactions impacts our customers, and could impact our business, both domestically and abroad.</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tax information and withholding reporting obligations with respect to digital asset transactions are subject to change.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Although we believe we are compliant with U.S. tax reporting and withholding requirements with respect to our customers’ digital asset transactions, the exact scope and application of such requirements, including but not limited to U.S. onboarding requirements through IRS Forms W-9 and W-8, backup withholding, non-resident alien withholding, and IRS Form 1099 and IRS Form 1042-S reporting obligations, is not entirely clear for all of the digital asset transactions that we facilitate. In November 2021, the U.S. Congress passed the Infrastructure Investment and Jobs Act, providing that brokers (which appear to include exchanges such as Figure Exchange) would be responsible for reporting to the IRS the transactions of their customers in digital assets, including transfers to other exchanges or non-exchanges. In June 2024, the U.S. Treasury Department and the IRS released final regulations and issued other administrative guidance on tax information reporting for digital assets (the “Final Regulations”). The Final Regulations introduced new rules related to our tax reporting and withholding obligations on our customer transactions, and there can be no assurance that we will have proper records to ensure compliance for certain legacy customers or transactions. If the IRS determines that we are not in compliance with our tax reporting or withholding requirements with respect to customer digital asset transactions, we may be exposed to significant taxes and penalties, which could adversely affect our business, financial condition and results of operations. The Final Regulations will require us to invest substantially in new compliance measures and may require significant retroactive compliance efforts, which also could adversely affect our business, financial condition, and results of operations. Further, the IRS may issue additional guidance with respect to tax reporting and withholding obligations, which could impose additional burdens on us and result in significant taxes and penalties that could adversely affect our business, financial condition, and results of operations.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Similarly, new rules for reporting digital assets under the global “common reporting standard” as well as the “crypto-asset reporting framework” could be implemented in a manner that affects our international operations by creating new obligations and requiring us to invest in new onboarding and reporting infrastructure. Such rules have been adopted by numerous member and observer states of the Organization for Economic Cooperation and Development and by the European Commission on behalf of the member states of the European Union. These new rules may give rise to potential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180"/>
        <w:jc w:val="left"/>
        <w:rPr/>
      </w:pPr>
      <w:hyperlink w:anchor="i8e13d1b6f3764394b0e424082d2ac79f_7">
        <w:r>
          <w:rPr>
            <w:rStyle w:val="InternetLink"/>
            <w:rFonts w:ascii="Times New Roman;serif" w:hAnsi="Times New Roman;serif"/>
            <w:b w:val="false"/>
            <w:color w:val="000080"/>
            <w:sz w:val="20"/>
            <w:u w:val="single"/>
          </w:rPr>
          <w:t>Table of Content</w:t>
        </w:r>
      </w:hyperlink>
      <w:hyperlink w:anchor="i8e13d1b6f3764394b0e424082d2ac79f_7">
        <w:r>
          <w:rPr>
            <w:rStyle w:val="InternetLink"/>
            <w:rFonts w:ascii="Times New Roman;serif" w:hAnsi="Times New Roman;serif"/>
            <w:b w:val="false"/>
            <w:color w:val="000080"/>
            <w:sz w:val="20"/>
            <w:u w:val="single"/>
          </w:rPr>
          <w: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liabilities or disclosure requirements for prior customer arrangements and new rules that affect how we onboard our customers and report their transactions to taxing authorities. Additionally, the European Union has issued directives, commonly referred to as the Central Electronic System of Payment information, requiring payment service providers in the European Union to report certain cross-border transactions to taxing authorities on a quarterly basis. Any actual or perceived failure by us to comply with the above or any other emerging tax regulations that apply to our operations could harm our business.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The nature of our business requires the application of complex financial accounting rules, and there is limited guidance from accounting standard setting bodies on certain topics. If financial accounting standards undergo significant changes, our results of operations could fluctuate.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accounting rules and regulations that we must comply with are complex and subject to interpretation by the Financial Accounting Standards Board (“FASB”), the SEC, and various other bodies formed to promulgate and interpret appropriate accounting principles. Recent actions and public comments from the FASB and the SEC have focused on the integrity of financial reporting and internal controls and many companies’ accounting policies are being subjected to heightened scrutiny by regulators and the public. Further, there has been limited precedent for the financial accounting of digital assets and related valuation and revenue recognition. Moreover, a change in these principles or interpretations could have a significant effect on our reported financial results, and may even affect the reporting of transactions completed before the announcement or effectiveness of a change. For example, in December 2023, the FASB issued Accounting Standards Update No. 2023-08, Intangibles-Goodwill and Other-Crypto Assets: Accounting for and Disclosure of Crypto Assets (“ASU 2023-08”), which represents a significant change in how entities that hold digital assets will account for certain of those holdings. Previously, digital assets held were accounted for as intangible assets with indefinite useful lives, which required us to measure digital assets at cost less impairment. Effective as of January 1, 2024, we adopted ASU 2023-08, which requires us to measure digital assets held at fair value at each reporting date, with fair value gains and losses recognized through net income. Fair value gains and losses can increase the volatility of our net income, especially if the underlying digital asset market is volatile. Additionally, on March 31, 2022, the staff of the SEC issued Staff Accounting Bulletin (“SAB”) No. 121 (“SAB 121”), which represented a significant change regarding how a company safeguarding digital assets held for its platform users reports such digital assets on its balance sheet and required retrospective application as of January 1, 2022. In January 2025, the staff of the SEC issued SAB No. 122 (“SAB 122”), which rescinds the previously issued interpretive guidance included within SAB 121. We have adopted SAB 122 as of December 31, 2024 on a retrospective basis.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Uncertainties in or changes to regulatory or financial accounting standards could result in the need to change our accounting methods and may retroactively affect previously reported results and impair our ability to provide timely and accurate financial information, which could adversely affect our financial statements, result in a loss of investor confidence, and more generally impact our business, financial condition, and results of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strategy and focus on delivering high-quality, compliant, easy-to-use, and secure digital assets-related financial services may not maximize short-term or medium-term financial results.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have taken, and expect to continue to take, actions that we believe are in the best interests of our customers and the long-term interests of our business, even if those actions do not necessarily maximize short-term or medium-term results. These include expending significant managerial, technical, and legal efforts on complying with laws and regulations that are applicable to our products and services and ensuring that our products are secure. We also focus on driving long-term engagement with our customers through innovation and developing new products and technologies. These decisions may not be consistent with the short-term and medium-term expectations of our stockholders and may not produce the long-term benefits that we expect, which could have an adverse effect on our business, financial condition, and results of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Banking relationships in the digital asset space have been difficult to obtain and maintain in the recent regulatory climate. Loss of a critical banking or insurance relationship could adversely impact our business, financial condition, and results of operations.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rely on bank relationships to provide banking rails for our platform. Given the industry in which we operate, our banking partners may view us as a higher risk customer for purposes of their AML programs, notwithstanding the fact that the subsidiaries through which we operate hold all required licenses for their current activities.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may face difficulty establishing or maintaining banking relationships due to instability in the global banking system, increasing regulatory uncertainty and scrutiny, or our banking partners’ policies. The loss of banking partners or the imposition of operational restrictions by banking partners and the inability for us to utilize other redundant financial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180"/>
        <w:jc w:val="left"/>
        <w:rPr/>
      </w:pPr>
      <w:hyperlink w:anchor="i8e13d1b6f3764394b0e424082d2ac79f_7">
        <w:r>
          <w:rPr>
            <w:rStyle w:val="InternetLink"/>
            <w:rFonts w:ascii="Times New Roman;serif" w:hAnsi="Times New Roman;serif"/>
            <w:b w:val="false"/>
            <w:color w:val="000080"/>
            <w:sz w:val="20"/>
            <w:u w:val="single"/>
          </w:rPr>
          <w:t>Table of Content</w:t>
        </w:r>
      </w:hyperlink>
      <w:hyperlink w:anchor="i8e13d1b6f3764394b0e424082d2ac79f_7">
        <w:r>
          <w:rPr>
            <w:rStyle w:val="InternetLink"/>
            <w:rFonts w:ascii="Times New Roman;serif" w:hAnsi="Times New Roman;serif"/>
            <w:b w:val="false"/>
            <w:color w:val="000080"/>
            <w:sz w:val="20"/>
            <w:u w:val="single"/>
          </w:rPr>
          <w: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institutions may result in a disruption of business activity as well as regulatory risks. In addition, as a result of the myriad of regulations, the risks of digital assets generally, the adverse reputational impact of widely publicized negative events (such as FTX Trading Ltd.’s collapse) on our industry, implicit or explicit pressure from banking regulators and supervisors, or in the event of an adverse outcome of any SEC litigation, financial institutions in the United States and globally may decide to not provide, or be prohibited from providing, account, custody, or other financial services to us or the digital asset industry generally.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If the financial institutions we rely on face bank resolution or failure, limit or stop their digital asset activities, or if banking access for digital asset participants is restricted in a certain country, it could lead to temporary delays or unavailability of critical services in that country. This may affect our operations, reduce the availability of vendors or quality of services available to us or our customers, and cause a general disruption in the digital asset industry, potentially reducing activity on our platform, which may adversely impact our business, financial condition, and results of operations. Furthermore, the interruption or termination of certain of our banking relationships may lead to non-compliance with regulatory licenses that we maintain and could subject us to litigation (including damages), investigation, enforcement and other regulatory and legal action and penalties.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also rely on insurance carriers to insure customer losses resulting from a breach of our physical security, cybersecurity, or by employee or third-party theft. Our ability to maintain such insurance is subject to the insurance carriers’ ongoing underwriting criteria and our inability to obtain and maintain appropriate insurance coverage could cause a substantial business disruption, adverse reputational impact, inability to compete with our competitors, and regulatory scrutiny.</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currently support, and expect to continue to support, certain smart contract-based digital assets. If the underlying smart contracts for these digital assets do not operate as expected, or if the fundamental premise of smart contract acceptance or function shifts, our business, financial condition, and results of operations could be adversely affected.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currently support, and expect to continue to support, various digital assets that represent units of value on smart contracts deployed on a third-party blockchain. Smart contracts are programs that can store, automatically execute and transfer value, or conduct other operations when certain conditions are met. Since smart contracts typically cannot be stopped or reversed, vulnerabilities in their programming and design can have damaging effects. For instance, in April 2018, a batch overflow bug was found in many Ethereum-based ERC-20-compatible smart contract tokens that allowed hackers to create a large number of smart contract tokens, causing multiple digital asset platforms worldwide to shut down ERC-20-compatible token trading. Similarly, in March 2020, a design flaw in the MakerDAO smart contract caused forced liquidations of digital assets at significantly discounted prices, resulting in millions of dollars of losses to users who had deposited digital assets into the smart contract. If any such vulnerabilities or flaws come to fruition, smart contract-based digital assets, including those held by our customers on Figure Exchange, may suffer negative publicity, be exposed to security vulnerabilities, decline significantly in value, or lose liquidity over a short period of time.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some cases, smart contracts can be controlled by one or more admin keys or users with special privileges, or “super-users.” These users have the ability to unilaterally make changes to the smart contract, enable or disable features on the smart contract, change how the smart contract receives external inputs and data, and make other changes to the smart contract. For smart contracts that hold a pool of reserves, these users may also be able to extract funds from the pool, liquidate assets held in the pool, or take other actions that decrease the value of the assets held by the smart contract in reserves. Even for digital assets that have adopted a decentralized governance mechanism, such as smart contracts that are governed by the holders of a governance token, such governance tokens can be concentrated in the hands of a small group of core community members, who would be able to make similar changes unilaterally to the smart contract. If any such super-user or group of core members unilaterally makes adverse changes to a smart contract, the design, functionality, features and value of the smart contract and its related digital assets may be harmed.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addition, digital assets held by the smart contract in reserves may be stolen, misused, burnt, locked up or otherwise become unusable or irrecoverable. Super-users that have control over these smart contracts can also become targets of hackers and malicious attackers. If an attacker is able to access or obtain the super-user privileges of a smart contract, or if a smart contract’s super users or core community members take actions that adversely affect the smart contract, our users who hold and transact in the affected digital assets may experience decreased functionality and value of the applicable digital assets, up to and including a total loss of the value of such digital assets. Although we do not control these smart contracts, any such events could cause users to seek damages against us for their losses, result in reputational damage to us, or in other ways adversely impact our business,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180"/>
        <w:jc w:val="left"/>
        <w:rPr/>
      </w:pPr>
      <w:hyperlink w:anchor="i8e13d1b6f3764394b0e424082d2ac79f_7">
        <w:r>
          <w:rPr>
            <w:rStyle w:val="InternetLink"/>
            <w:rFonts w:ascii="Times New Roman;serif" w:hAnsi="Times New Roman;serif"/>
            <w:b w:val="false"/>
            <w:color w:val="000080"/>
            <w:sz w:val="20"/>
            <w:u w:val="single"/>
          </w:rPr>
          <w:t>Table of Content</w:t>
        </w:r>
      </w:hyperlink>
      <w:hyperlink w:anchor="i8e13d1b6f3764394b0e424082d2ac79f_7">
        <w:r>
          <w:rPr>
            <w:rStyle w:val="InternetLink"/>
            <w:rFonts w:ascii="Times New Roman;serif" w:hAnsi="Times New Roman;serif"/>
            <w:b w:val="false"/>
            <w:color w:val="000080"/>
            <w:sz w:val="20"/>
            <w:u w:val="single"/>
          </w:rPr>
          <w:t>s</w:t>
        </w:r>
      </w:hyperlink>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rely on external financial and tax advisors to provide us with accurate advice, which may be wrong or inaccurate. We may not be able to onboard external financial or tax advisors with the right skill sets and experience in the blockchain technology and digital assets industry and may not be able to maintain the services of external auditors.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Due to the complexity and novelty of the law, regulations, and accounting standards relevant to blockchain technology and the digital assets industry, from time to time we rely on external financial and tax advisors to provide us with accurate advice. However, as the industry is relatively new, the interpretation of the applicable laws, regulations and accounting standards by our external advisors may be different from that of government authorities and may be wrong or inaccurate.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there is a limited pool of suitably qualified financial and tax advisors with sufficient expertise in digital assets and blockchain technology, we may not be able to onboard external advisors with the right skill sets and experience. We may incur increased costs in obtaining external financial and tax advice from advisors with the appropriate level of quality and expertise.</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The redemption risk, pricing risk, and regulatory risk associated with stablecoins may adversely affect our business, financial condition, and results of operations.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Stablecoins are digital assets designed to minimize price volatility. A stablecoin is designed to track the price of an underlying asset such as fiat currency or an exchange-traded commodity. We currently support and use certain stablecoins in our business lines, and our wholly-owned subsidiary, Figure Certificate Company (“FCC”), launched YLDS, an interest-bearing transferable stablecoin, in February 2025.</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Stablecoins have a unique risk associated with redemption of the token for the underlying asset and divergence between the intended redemption rate of the stablecoin and secondary market trading prices. The underlying assets are often invested into perceived “safe” investments such as U.S. Treasury securities. However, there is no guarantee that the underlying assets are put into instruments that are as safe as they may be perceived to be. There is a risk that the assets may not be redeemable at the 1:1 redemption ratio (i.e., one U.S. dollar for one stablecoin) if an issue occurs with the underlying asset. The issuers of stablecoins may also not be able to provide sufficient underlying assets to back the stablecoins. Moreover, even if marketed or intended to be redeemable with the stablecoin issuer at a 1:1 ratio, there is no guarantee that a stablecoin will trade in the secondary market at or close to such redemption value. In this regard, various market factors, including factors including trade liquidity and sentiment and perception regarding a stablecoin and its backing with underlying assets, may result in a stablecoin trading in the secondary markets at a value other than (or “depegging” from) a 1:1 value with the U.S. dollar. For example, the USDC stablecoin issued by Circle temporarily depegged and traded at a secondary price below one U.S. dollar in March 2023 in the context of the collapse of Silicon Valley Bank due to concerns that some of the funds backing USDC were held in deposits with Silicon Valley Bank.</w:t>
      </w:r>
    </w:p>
    <w:p>
      <w:pPr>
        <w:pStyle w:val="TextBody"/>
        <w:bidi w:val="0"/>
        <w:spacing w:lineRule="auto" w:line="288" w:before="0" w:after="180"/>
        <w:jc w:val="both"/>
        <w:rPr/>
      </w:pPr>
      <w:r>
        <w:rPr>
          <w:rFonts w:ascii="Times New Roman;serif" w:hAnsi="Times New Roman;serif"/>
          <w:b w:val="false"/>
          <w:color w:val="000000"/>
          <w:sz w:val="20"/>
        </w:rPr>
        <w:t>In addition, the regulatory treatment of fiat-backed stablecoins remains highly uncertain, particularly for stablecoins, such as YLDS, that are not "payment stablecoins" subject to the Guiding and Establishing National Innovation for U.S. Stablecoins Act (the "GENIUS Act"), which is federal stablecoin legislation that was enacted on July 18, 2025</w:t>
      </w:r>
      <w:r>
        <w:rPr>
          <w:rFonts w:ascii="Times New Roman;serif" w:hAnsi="Times New Roman;serif"/>
          <w:b w:val="false"/>
          <w:color w:val="000000"/>
          <w:sz w:val="20"/>
          <w:shd w:fill="FFFFFF" w:val="clear"/>
        </w:rPr>
        <w:t>. T</w:t>
      </w:r>
      <w:r>
        <w:rPr>
          <w:rFonts w:ascii="Times New Roman;serif" w:hAnsi="Times New Roman;serif"/>
          <w:b w:val="false"/>
          <w:color w:val="000000"/>
          <w:sz w:val="20"/>
        </w:rPr>
        <w:t>he resale of such stablecoins may implicate a variety of banking, deposit, money transmission, prepaid access and stored value, anti-money laundering, commodities, securities, sanctions, and other laws and regulations in the various jurisdictions relevant to our business. The risks associated with stablecoins may adversely affect interest in and demand for the products and services we seek to offer, and subject us to additional and ongoing regulatory uncertainties, including the CLARITY Act currently under consideration in the U.S. Senate, which may result in enforcement actions, litigation, significant costs being incurred, fines, and other penalties, as well as adversely affect our business, financial condition, and results of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A significant amount of the trading volume on Figure Exchange is derived from a relatively small number of customers, and the loss of these customers, or a reduction in their trading volume, could have an adverse effect on our business, financial condition, and results of operations.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 relatively small number of institutional market makers and high-transaction volume customers account for a significant amount of the trading volume on Figure Exchange. For example, our top seven customers accounted for 85% and 99% of the trading volume on Figure Exchange during the years ended December 31, 2025 and 2024, respectively. Further, through December 31, 2025, we had three large institutional customers that made up the majority of the volume on Figure Exchange. To facilitate their activities, we provided a loan to one of these customers for a total of $1 million as of December 31, 2025. The key terms for this loan includes an initial annual interest rate of 7% and a term of 30 days, which automatically renews each month until the loan is repaid by the customer or we call on such loan. The customer is required to maintain 20% collateral for the loan on Figure Exchange. Except for this loan and our customary terms of service that are entered into by all of our customers, we have not entered into any other agreements with such institutional investors. Figure Exchange did not charge transaction fees at such date but has since charged, and will continue to charge, transaction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180"/>
        <w:jc w:val="left"/>
        <w:rPr/>
      </w:pPr>
      <w:hyperlink w:anchor="i8e13d1b6f3764394b0e424082d2ac79f_7">
        <w:r>
          <w:rPr>
            <w:rStyle w:val="InternetLink"/>
            <w:rFonts w:ascii="Times New Roman;serif" w:hAnsi="Times New Roman;serif"/>
            <w:b w:val="false"/>
            <w:color w:val="000080"/>
            <w:sz w:val="20"/>
            <w:u w:val="single"/>
          </w:rPr>
          <w:t>Table of Content</w:t>
        </w:r>
      </w:hyperlink>
      <w:hyperlink w:anchor="i8e13d1b6f3764394b0e424082d2ac79f_7">
        <w:r>
          <w:rPr>
            <w:rStyle w:val="InternetLink"/>
            <w:rFonts w:ascii="Times New Roman;serif" w:hAnsi="Times New Roman;serif"/>
            <w:b w:val="false"/>
            <w:color w:val="000080"/>
            <w:sz w:val="20"/>
            <w:u w:val="single"/>
          </w:rPr>
          <w: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fees in the future. We expect significant trading volume and revenue attributable to these customers for the foreseeable future, including revenue attributable to transaction fees. A loss of these users, or a reduction in their trading volume, and our inability to replace these users with other users, could have an adverse effect on our business, financial condition, and results of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Revenue from Figure Exchange is concentrated in a limited number of areas, particularly transactions in Bitcoin, Ether, and HASH. If revenue from these areas declines and is not replaced by new trading in other digital assets or demand for other products and services, our business, financial condition, and results of operations could be adversely affected.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While we support a diverse portfolio of products and services, our revenue from Figure Exchange is concentrated in transactions in Bitcoin, Ether, and HASH (the native digital asset of the Provenance Blockchain). During 2022 and 2023, the value of Bitcoin, Ether, and other digital assets declined steeply. While the value of many digital assets recovered in 2024, they fell significantly again during the first quarter of 2025. If the value of these digital assets does not continue to increase or declines in the future, our business, financial condition, and results of operations could be adversely affected. As such, in addition to the factors impacting the broader digital asset industry described herein, our revenue may be adversely affected if the markets for Bitcoin, Ether, or HASH deteriorate or if their prices decline, including because of the following factors: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reduction in mining rewards of Bitcoin, including block reward halving events, which are events that occur after a specific period of time and reduces the block reward earned by miners;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public sentiment related to the actual or perceived environmental impact of blockchain technology and related activities, including environmental concerns raised by private individuals, non-governmental organizations and governmental actors related to the energy resources consumed in the Bitcoin mining process;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disruptions, hacks, forks, attacks by malicious actors who control a significant portion of the networks’ HASH rate through double spend or 51% attacks, and similar incidents affecting the Bitcoin or Ethereum networks;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forks resulting in the creation of and divergence into multiple separate networks, such as Bitcoin Cash and Ethereum Classic;</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informal governance led by Bitcoin and Ethereum core developers that leads to revisions to the underlying source code or inactions that prevent network scaling, and which evolves over time largely based on self-determined participation, which may result in new changes or updates that affect their speed, security, usability, or value;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ability for Bitcoin and Ethereum Networks to resolve significant scaling challenges and increase the volume and speed of transactions;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transaction congestion and fees associated with processing transactions on the Bitcoin and Ethereum networks;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identification of Satoshi Nakamoto, the pseudonymous person or persons who developed Bitcoin, or the transfer of Nakamoto’s Bitcoin;</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developments in mathematics, technology, digital computing, algebraic geometry, and quantum computing that could result in the cryptography which is used by Bitcoin and Ethereum Networks becoming insecure or ineffective;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adverse legal proceedings or regulatory enforcement actions, judgments, or settlements impacting digital asset industry participants;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regulatory, legislative, or other compulsory or informal restrictions or limitations on Bitcoin and Ethereum lending, mining, or staking activities;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liquidity and credit risk issues experienced by other digital asset platforms and other participants of the digital asset industry;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laws and regulations affecting the Bitcoin and Ethereum Networks or access to these networks, including a determination that either Bitcoin, Ether, or HASH constitutes a security or other regulated financial instrument under the laws of any jurisdiction.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180"/>
        <w:jc w:val="left"/>
        <w:rPr/>
      </w:pPr>
      <w:hyperlink w:anchor="i8e13d1b6f3764394b0e424082d2ac79f_7">
        <w:r>
          <w:rPr>
            <w:rStyle w:val="InternetLink"/>
            <w:rFonts w:ascii="Times New Roman;serif" w:hAnsi="Times New Roman;serif"/>
            <w:b w:val="false"/>
            <w:color w:val="000080"/>
            <w:sz w:val="20"/>
            <w:u w:val="single"/>
          </w:rPr>
          <w:t>Table of Content</w:t>
        </w:r>
      </w:hyperlink>
      <w:hyperlink w:anchor="i8e13d1b6f3764394b0e424082d2ac79f_7">
        <w:r>
          <w:rPr>
            <w:rStyle w:val="InternetLink"/>
            <w:rFonts w:ascii="Times New Roman;serif" w:hAnsi="Times New Roman;serif"/>
            <w:b w:val="false"/>
            <w:color w:val="000080"/>
            <w:sz w:val="20"/>
            <w:u w:val="single"/>
          </w:rPr>
          <w:t>s</w:t>
        </w:r>
      </w:hyperlink>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Risks Related to Third Parties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sell a significant percentage of our loans to a concentrated number of loan purchasers on the secondary market, and the loss of one or more significant purchasers could adversely affect our business, financial condition, and results of operations.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While we continue to diversify and add more loan purchasers, we currently sell a significant percentage of our loans to a concentrated number of loan purchasers. For example, our top three loan purchasers in 2025 collectively accounted for 57% of our loan sale volume, and individually accounted for 22%, 18%, and 17%, or $1.3 billion, $1.0 billion, and $1.0 billion, respectively. Our top three loan purchasers in 2024 collectively accounted for approximately 38% of our loan sale volume, and individually accounted for approximately 15%, 14%, and 10% of our loan volume, or $700 million, $600 million, and $400 million, respectively. These values do not include loans sold in Figure Securitizations, which totaled $749 million and $456 million in 2025 and 2024, respectively. We continue to diversify our loan purchaser ecosystem by adding new buyers in addition to securitizing loans. There are inherent risks whenever a large percentage of a business is concentrated with a limited number of parties. It is not possible for us to predict the future level of demand for our loans by these or other purchasers. In addition, purchases of our loans by these purchasers have historically fluctuated and may continue to fluctuate based on a number of factors, some of which may be outside of our control, including economic conditions, government-sponsored enterprise involvement in the purchase and securitization of similar lending products, the availability of alternative investments, changes in the terms of the loans, loans offered by competitors, prevailing interest rates, and a change in business plan, liquidity or strategy by the purchaser. If any of these purchasers significantly reduces the dollar amount of the loans it purchases from us, we may be unable to sell those loans to another purchaser on favorable terms or at all, which may require us to reduce originations or hold additional loans on our balance sheet and may reduce our flexibility in making financing decisions. In addition, the loss of one or more of our significant loan purchasers could increase the volatility of the mark-to-market methodology we use to determine the fair value of the loans we hold on our balance sheet, which could adversely affect our business, financial condition, and results of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counterparties may terminate our servicing rights pursuant to servicing agreements under which we conduct servicing activities.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business depends in part on our ability to effectively service loans in accordance with the terms of our servicing agreements with third parties. Additionally, we contract with subservicers to service certain loans, while retaining ultimate responsibility and liability to our counterparties for the subservicer’s performance. Our servicing agreements generally include provisions that allow our counterparties to terminate our servicing rights under certain conditions, which may include non-compliance with financial obligations, breach of contractual terms, or failure to adhere to legal and regulatory requirements. Moreover, these agreements generally allow our counterparties to terminate and transfer our servicing rights at their discretion at any time, which they may choose to do based on preferential relationships with other servicers, changes to their operations, or general dissatisfaction with our or a subservicer’s performance. In the event of termination of our servicing rights, we may be required to transfer our servicing rights to a successor servicer on short notice and without compensation. A large number of requested transfers to a successor servicer could disrupt our operations. If we were to have our servicing rights terminated on a material portion of our servicing portfolio, this could adversely affect our business, financial condition, and results of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Failure of vendors to perform their contractual agreements embedded in our products and services and our failure to effectively oversee vendor operations could adversely affect our business, financial condition, and results of operations.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contract with vendors and service providers who perform services for us or to whom select functions are delegated and integrated into our processes. In some cases, third-party vendors are one of a limited number of sources. These service providers are critical to our maintaining a high level of automation on our platform; without certain vendors, we would experience disruption to our LOS that could prevent our platform from originating loans until we identify and integrate a replacement vendor. In addition to vendors that are integrated into our LOS, such as credit reporting agencies and residential property and consumer data providers, we rely on vendors for key information technology tasks, including maintenance of system availability, cybersecurity, and data integrity. For example, we use the following capabilities of GCP: infrastructure and scalability resources, security measures, a high-performance network that supports system availability by minimizing latency and providing reliable connectivity, and data storage, protection, privacy, and integrity. We utilize a variety of other vendors to detect and defend against malicious activity and threats. Our arrangements with vendors and service providers have in the past and may in the future disrupt or degrade our operations if they fail to satisfy their obligations to us or if they were to stop providing services to us either on a temporary or permanent basis. We may be unable to replace these vendors and service providers in a timely and efficient manner, on similar terms, or at all. In addition, our vendors and service providers may fail to operate in compliance with applicable laws, regulations, and rules. Despite our efforts to monitor our vendors and service providers with which we transact business, there is no guarantee that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180"/>
        <w:jc w:val="left"/>
        <w:rPr/>
      </w:pPr>
      <w:hyperlink w:anchor="i8e13d1b6f3764394b0e424082d2ac79f_7">
        <w:r>
          <w:rPr>
            <w:rStyle w:val="InternetLink"/>
            <w:rFonts w:ascii="Times New Roman;serif" w:hAnsi="Times New Roman;serif"/>
            <w:b w:val="false"/>
            <w:color w:val="000080"/>
            <w:sz w:val="20"/>
            <w:u w:val="single"/>
          </w:rPr>
          <w:t>Table of Content</w:t>
        </w:r>
      </w:hyperlink>
      <w:hyperlink w:anchor="i8e13d1b6f3764394b0e424082d2ac79f_7">
        <w:r>
          <w:rPr>
            <w:rStyle w:val="InternetLink"/>
            <w:rFonts w:ascii="Times New Roman;serif" w:hAnsi="Times New Roman;serif"/>
            <w:b w:val="false"/>
            <w:color w:val="000080"/>
            <w:sz w:val="20"/>
            <w:u w:val="single"/>
          </w:rPr>
          <w: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they will comply with their contractual obligations as agreed to or applicable laws and regulations. Failure to maintain an effective vendor oversight program and monitor our vendors’ compliance with applicable laws could result in fines, penalties or other liability for errors and omissions by these vendors and service providers, which could adversely affect our business,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Risks Related to Market and Interest Rates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business is significantly impacted by interest rates. Changes in prevailing interest rates or U.S. monetary policies that affect interest rates could adversely affect our business, financial condition, and results of operations.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Interest rate fluctuations have a significant effect on our results of operations and cash flows. Our financial performance is directly affected by changes in prevailing interest rates, which may subject our financial performance to substantial volatility. We are particularly affected by the policies of the U.S. Federal Reserve, which influence interest rates and impact the size of the loan production market. The U.S. Federal Reserve’s balance sheet consists of U.S. Treasury securities and mortgage-backed securities issued by Fannie Mae, Freddie Mac, and Ginnie Mae. Since HELOC origination volumes tend to increase in rising interest rate environments and decrease in decreasing rate environments, we are exposed to cyclical changes as a result of shifts in interest rates. Fluctuations in interest rates significantly impact every aspect of our operations: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We expect our borrowing costs to increase to the extent interest rates increase, but we expect any increases to have a minimal effect on our business given the rates on our HELOCs also rise. To the extent rates fall, we expect our borrowing costs to also decrease. If interest rates were to fall significantly from current levels, we would expect a compression in the market for HELOCs.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interest rates associated with our digital assets-secured personal loans are fixed based on initial loan-to-value ratios, but fluctuations in market interest rates can influence borrower demand and the attractiveness of these loans.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market value of a loan held for sale generally declines as interest rates rise. Changes in interest rates between origination and sale of the loan can expose us to loan losses.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Changes in interest rates are also a key driver of the revenue we receive from the value of servicing rights. Historically, the value of servicing rights has increased when interest rates rise as higher interest rates lead to decreased prepayment rates, and has decreased when interest rates decline as lower interest rates lead to increased prepayment rates. As a result, decreases in interest rates could adversely affect our business, financial condition, and results of operations.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Higher interest rates also lead to higher payment obligations by our borrowers to us and to their creditors under mortgage, credit card, and other consumer and merchant loans, which might reduce our borrowers’ ability to satisfy their obligations to us, including failing to pay for securities purchased, meet minimum credit card payments, deliver securities sold, or meet margin calls, and therefore lead to increased delinquencies, charge-offs, and allowances for loan and interest receivables, which could have an adverse effect on our net income. Fluctuations in interest rates could adversely impact our borrowers’ general spending levels and ability and willingness to invest and spend through our platform.</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business, financial condition, and results of operations could be adversely affected by the financial markets, digital asset markets, fiscal, monetary, and regulatory policies, and economic conditions generally.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business, financial condition, and results of operations are directly affected by elements beyond our control, including general economic, political, social and health conditions in the United States and in countries abroad. These elements can arise suddenly, and the full impact can remain unknown or result in adverse effects, including, but not limited to, extreme volatility in credit, equity, foreign currency and digital asset markets, changes to buying patterns of our customers and prospective customers or reductions in the credit quality of our customers.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In particular, markets in the United States or abroad have been and may in the future be affected by the level and volatility of interest rates, availability and market conditions of financing, recessionary pressures, inflation, supply chain disruptions, consumer spending, employment levels, labor shortages, federal government shutdowns, developments related to the U.S. federal debt ceiling, energy prices, home prices, commercial property values, bankruptcies, a default by a significant market participant or class of counterparties, market volatility, liquidity of the global financial markets, the growth of global trade and commerce, exchange rates, trade policies, the availability and cost of capital and credit, disruption of communication, transportation, or energy infrastructure, and investor sentiment and confidence. Additionally, global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180"/>
        <w:jc w:val="left"/>
        <w:rPr/>
      </w:pPr>
      <w:hyperlink w:anchor="i8e13d1b6f3764394b0e424082d2ac79f_7">
        <w:r>
          <w:rPr>
            <w:rStyle w:val="InternetLink"/>
            <w:rFonts w:ascii="Times New Roman;serif" w:hAnsi="Times New Roman;serif"/>
            <w:b w:val="false"/>
            <w:color w:val="000080"/>
            <w:sz w:val="20"/>
            <w:u w:val="single"/>
          </w:rPr>
          <w:t>Table of Content</w:t>
        </w:r>
      </w:hyperlink>
      <w:hyperlink w:anchor="i8e13d1b6f3764394b0e424082d2ac79f_7">
        <w:r>
          <w:rPr>
            <w:rStyle w:val="InternetLink"/>
            <w:rFonts w:ascii="Times New Roman;serif" w:hAnsi="Times New Roman;serif"/>
            <w:b w:val="false"/>
            <w:color w:val="000080"/>
            <w:sz w:val="20"/>
            <w:u w:val="single"/>
          </w:rPr>
          <w: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markets have been and may in the future be adversely affected by the current or anticipated impact of climate change, extreme weather events or natural disasters, the emergence or continuation of widespread health emergencies or pandemics, cyberattacks or campaigns, military conflict, terrorism, or other geopolitical events which may affect our results of operations. For example, although we do not have operations in Ukraine, Russia, Israel, or Iran, the ongoing wars in Ukraine and Israel have led and could in the future lead to macroeconomic effects, including volatility in commodity prices and the supply of energy resources, instability in financial markets, supply chain interruptions, political and social instability, as well as an increase in cyberattacks and espionage. Also, any sudden or prolonged market downturn in the United States or abroad, as a result of the above factors or otherwise, could adversely affect our business, financial condition, and results of operations, including our capital and liquidity levels.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Significant downturns in the securities markets or in general economic and political conditions may also impair customers’ ability to refinance or sell their residential properties, which may contribute to higher delinquency and default rates. Customers seeking to avoid increased monthly payments by refinancing may no longer be able to find available replacement loans if prevailing underwriting standards are more stringent. Despite recent home price appreciation in certain markets, home price depreciation experienced to date, and any further price depreciation, may also leave customers with insufficient equity in their homes to permit them to refinance. These events could cause customers to default on their mortgage loans and other debts, including HELOCs and other loans we offer. In addition, such significant downturns may cause funding and liquidity concerns for our current and prospective partners, reducing their adoption and use of our Partner-branded products. Conversely, significant upturns in the securities markets or in general economic and political conditions may cause individuals to be less proactive in seeking ways to improve the returns on their trading or investment decisions and, thus, decrease the demand for our products and services. Any of these changes could cause our future performance to be uncertain or unpredictable, and could adversely affect our business, financial condition, and results of operations. In addition, a prolonged weakness in the U.S. equity markets, global digital asset markets or a general extended economic downturn could cause our customers or partners to incur losses, which in turn could cause our brand and reputation to suffer. If our reputation is harmed, the willingness of our existing customers or partners and potential new customers or partners to do business with us could be negatively impacted, which would adversely affect our business, financial condition, and results of operations.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Evolving laws, regulatory policies, and political priorities at the federal and state levels, both domestically and internationally, present ongoing risks to economic activity, our customers and partners, our counterparties and our earnings and operations. Evolving areas include, but are not limited to, financial and digital asset regulation, taxation, international trade, fiscal policy, climate change, health care, and data privacy. For example, changes, or proposed changes, to certain U.S. trade and international investment policies, particularly with important trading partners (including China and the European Union) have in recent years negatively impacted financial markets and could have negative implications in the future. Geopolitical instability, including actions taken by other countries, particularly China and Russia, to restrict the activities of businesses, or engage in acts of aggression, could also negatively affect financial markets. An escalation of these or other tensions could lead to further measures that adversely affect financial markets, disrupt world trade and commerce, and lead to trade retaliation, including through the use of duties and tariffs, foreign exchange measures or the large-scale sale of U.S. Treasury securities.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Any of these developments could adversely affect our business, financial condition, and results of operations, as well as our customers and partners, the value of our loan portfolios, our level of charge-offs and provision for credit losses, our capital levels, and our liquidity.</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results of operations have and will fluctuate, including due to the highly volatile nature of digital assets.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results of operations are dependent on digital assets and the broader digital asset economy. Due to the highly volatile nature of the digital asset economy and the prices of digital assets, which have experienced significant declines and elevated volatility in the fourth quarter of 2025 and the first quarter of 2026 (to date),and continue to experience significant volatility, our results of operations could fluctuate from quarter to quarter in accordance with market sentiments and movements in the broader digital asset economy. Our results of operations may fluctuate as a result of a variety of factors, many of which are unpredictable and in certain instances are outside of our control, including:</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dependence on offerings that are dependent on digital asset trading activity, including trading volume and the prevailing trading prices for digital assets, whose trading prices and volume can be highly volatile;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ability to attract, maintain, and grow our customer base and engage our customers;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changes in the legislative or regulatory environment, or actions by U.S. or foreign governments or regulators, including fines, orders, or consent decrees;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0" w:after="180"/>
        <w:jc w:val="left"/>
        <w:rPr/>
      </w:pPr>
      <w:hyperlink w:anchor="i8e13d1b6f3764394b0e424082d2ac79f_7">
        <w:r>
          <w:rPr>
            <w:rStyle w:val="InternetLink"/>
            <w:rFonts w:ascii="Times New Roman;serif" w:hAnsi="Times New Roman;serif"/>
            <w:b w:val="false"/>
            <w:color w:val="000080"/>
            <w:sz w:val="20"/>
            <w:u w:val="single"/>
          </w:rPr>
          <w:t>Table of Content</w:t>
        </w:r>
      </w:hyperlink>
      <w:hyperlink w:anchor="i8e13d1b6f3764394b0e424082d2ac79f_7">
        <w:r>
          <w:rPr>
            <w:rStyle w:val="InternetLink"/>
            <w:rFonts w:ascii="Times New Roman;serif" w:hAnsi="Times New Roman;serif"/>
            <w:b w:val="false"/>
            <w:color w:val="000080"/>
            <w:sz w:val="20"/>
            <w:u w:val="single"/>
          </w:rPr>
          <w:t>s</w:t>
        </w:r>
      </w:hyperlink>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regulatory changes or scrutiny that impact our ability to offer certain products or services;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increased regulatory certainty, which could lead to greater competition from traditional financial services firms and other competitors with broader access to financial resources;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ability to continue to diversify and grow our revenue;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pricing for or temporary suspensions of our products and services;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investments we make in the development of products and services as well as technology offered to our developers, international expansion, and sales and marketing;</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adding digital assets to, or removing digital assets from, our platform;</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ability to establish and maintain partnerships, collaborations, joint ventures, or strategic alliances with third parties;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market conditions of, and overall sentiment towards, the digital asset economy;</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macroeconomic conditions, including interest rates, inflation and instability in the global banking system;</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adverse legal proceedings or regulatory enforcement actions, judgments, settlements, or other legal proceeding and enforcement-related costs;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development and introduction of new products and services by our competitors;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ability to control costs, including our operating expenses incurred to grow and expand our operations and to remain competitive;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system failure, outages or interruptions, including with respect to Figure Exchange and third-party digital asset networks;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lack of control over decentralized or third-party blockchains and networks that may experience downtime, cyberattacks, critical failures, errors, bugs, corrupted files, data losses, or other similar software failures, outages, breaches, and losses;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real or perceived improper unauthorized use of, disclosure of, or access to confidential, proprietary, personal, or sensitive data;</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breaches of security or privacy;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ability to attract and retain talent.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As a result of these factors, it is difficult for us to forecast growth trends accurately and our business and future prospects are difficult to evaluate, particularly in the short term. In view of the rapidly evolving nature of our business and the digital asset economy, period-to-period comparisons of our results of operations may not be meaningful, and you should not rely upon them as an indication of future performance. Quarterly and annual expenses reflected in our financial statements may be significantly different from historical or projected rates. Our results of operations in one or more future quarters may fall below the expectations of securities analysts and investors.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loan financing and selling strategy exposes us to interest rate volatility risk.</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Borrowings under our warehouse credit facilities are at variable rates of interest, which exposes us to interest rate risk. Interest rates may fluctuate significantly during the period between loan origination and the securitization or sale of such loans, which can increase or decrease the spread between the rate at which we originated loans and the current market price for such loans. For the year ended December 31, 2025, the weighted average time between the date of origination to the date of sale for our whole loan sales was approximately 20 business days. The weighted average number of days from origination to securitization was approximately 45 business days for the same period. Volatile interest rate environments can lead to volatility in our results of operations. As interest rates increase, we may need to sell our loans at a loss, and our debt service obligations on certain of our variable-rate indebtedness will also increase, which could adversely affect our business,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0" w:after="180"/>
        <w:jc w:val="left"/>
        <w:rPr/>
      </w:pPr>
      <w:hyperlink w:anchor="i8e13d1b6f3764394b0e424082d2ac79f_7">
        <w:r>
          <w:rPr>
            <w:rStyle w:val="InternetLink"/>
            <w:rFonts w:ascii="Times New Roman;serif" w:hAnsi="Times New Roman;serif"/>
            <w:b w:val="false"/>
            <w:color w:val="000080"/>
            <w:sz w:val="20"/>
            <w:u w:val="single"/>
          </w:rPr>
          <w:t>Table of Content</w:t>
        </w:r>
      </w:hyperlink>
      <w:hyperlink w:anchor="i8e13d1b6f3764394b0e424082d2ac79f_7">
        <w:r>
          <w:rPr>
            <w:rStyle w:val="InternetLink"/>
            <w:rFonts w:ascii="Times New Roman;serif" w:hAnsi="Times New Roman;serif"/>
            <w:b w:val="false"/>
            <w:color w:val="000080"/>
            <w:sz w:val="20"/>
            <w:u w:val="single"/>
          </w:rPr>
          <w: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have implemented and maintain an interest rate hedging program designed to reduce our exposure to changes in prevailing interest rates. However, there can be no assurance that the program will be successful in eliminating all or some interest rate risks described above. If we fail to effectively manage this risk amidst competitive pressures and changing economic conditions, our business, financial condition, and results of operations could be adversely affected.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Information Technology and Data Risks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Technology disruptions or failures in, and cyberattacks or other breaches or incidents relating to, our operational, security or fraud-detection systems or infrastructure, or those of third parties with whom we do business, could disrupt our business, cause legal or reputational harm, and adversely affect our business, financial condition, and results of operations.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are dependent on the secure, efficient, and uninterrupted operation of our technology infrastructure, including computer systems, related software applications, data centers, and Provenance Blockchain, as well as those of certain third parties.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websites and computer/telecommunication networks must accommodate a high volume of traffic and deliver frequently updated information, the accuracy and timeliness of which is critical to our business. Our technology must provide a loan application experience and product offerings that equal or exceed the experience provided by our competitors. We have in the past and may in the future experience service disruptions and failures caused by system, network or software failures, fire, power loss, telecommunications failures, including those of internet service providers, team member misconduct or other malfeasance, human error, denial of service or information, security breaches or incidents, cyberattacks, including computer hackers, ransomware, computer viruses and disabling devices, malicious or destructive code, acts of terrorism or war, physical or electronic break-ins, or other events, disruptions, or intrusions, as well as natural disasters, health pandemics, and other similar events.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In particular, cybersecurity risks for lenders have significantly increased in recent years. We, our clients, loan applicants, third-party service providers, regulators, and other third parties have been subject to, and are likely to continue to be the target of, cyberattacks and other means of perpetuating security breaches and incidents that threaten the confidentiality, integrity and availability of our IT systems and Confidential Information (as defined below). These cyberattacks and other means could include computer viruses, malicious or destructive code, phishing and other social engineering attacks, credential stuffing and other brute force attacks, ransomware, denial of service or information, and improper access by team members or third-party vendors or other security breaches that could result in the loss, unavailability, destruction or unauthorized release, access to, gathering, monitoring, use, or other processing of our or our customers’ data, our intellectual property, or confidential, proprietary, or sensitive business information (collectively, “Confidential Information”), or otherwise materially disrupt our or our clients’ and loan applicants’ or other third parties’ network or systems access or use, or other business operations. We and our third-party service providers have experienced certain security breaches and incidents, and have previously experienced service disruptions, and we cannot be sure that we will not experience interruptions or delays in our service, or cyberattacks or other security breaches or incidents, in the future. Although we have developed systems and processes that are designed to protect our data and user data, to prevent data loss, and to prevent or detect security breaches and incidents, we cannot assure you that such measures will be successful, that we will be able to anticipate or detect all cyberattacks or compromises, breaches, or incidents, that we will be able to react to cyberattacks or compromises, breaches, or incidents in a timely manner, or that our remediation efforts will be successful. While we generally perform cybersecurity due diligence on our key third-party service providers, we do not control our service providers and our ability to monitor their cybersecurity practices is limited. We face numerous and evolving cybersecurity risks that threaten the confidentiality, integrity, and availability of our IT systems and Confidential Information, including from diverse threat actors, such as state-sponsored organizations, opportunistic hackers and hacktivists, as well as through diverse attack vectors, such as social engineering/phishing, malware (including ransomware), malfeasance by insiders, human or technological error, and as a result of bugs, misconfigurations or exploited vulnerabilities in software or hardware. Cyberattacks are expected to evolve and accelerate on a global basis in frequency and magnitude as threat actors are becoming increasingly sophisticated in using techniques and tools—including artificial intelligence—that circumvent security controls, evade detection and remove forensic evidence. As a result, we may be unable to detect, investigate, remediate or recover from future attacks or incidents, or to avoid a material adverse impact to our systems, confidential information or business. Additionally, geopolitical tensions and events such as the wars in Ukraine and Israel may increase the risk of cyberattacks. Any failure to prevent or mitigate security breaches and incidents and unauthorized access to or disclosure or other processing of data, including personal information, content, or payment information from our customers, could result in the loss, destruction, unavailability, modification, disclosure, or other unauthorized use or other processing of such data. There can also be no assurance that our cybersecurity risk management program and processes, including our policies, controls or procedures, will be fully implemented, complied with or effective in protecting our systems and confidential information. Furthermore, given the nature of complex systems,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0" w:after="180"/>
        <w:jc w:val="left"/>
        <w:rPr/>
      </w:pPr>
      <w:hyperlink w:anchor="i8e13d1b6f3764394b0e424082d2ac79f_7">
        <w:r>
          <w:rPr>
            <w:rStyle w:val="InternetLink"/>
            <w:rFonts w:ascii="Times New Roman;serif" w:hAnsi="Times New Roman;serif"/>
            <w:b w:val="false"/>
            <w:color w:val="000080"/>
            <w:sz w:val="20"/>
            <w:u w:val="single"/>
          </w:rPr>
          <w:t>Table of Content</w:t>
        </w:r>
      </w:hyperlink>
      <w:hyperlink w:anchor="i8e13d1b6f3764394b0e424082d2ac79f_7">
        <w:r>
          <w:rPr>
            <w:rStyle w:val="InternetLink"/>
            <w:rFonts w:ascii="Times New Roman;serif" w:hAnsi="Times New Roman;serif"/>
            <w:b w:val="false"/>
            <w:color w:val="000080"/>
            <w:sz w:val="20"/>
            <w:u w:val="single"/>
          </w:rPr>
          <w: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software and services like ours, and the scanning tools that we deploy across our networks and products, we regularly identify and track security vulnerabilities. We are unable to comprehensively apply patches or confirm that measures are in place to mitigate all such vulnerabilities, or that patches will be applied before vulnerabilities are exploited by a threat actor. We may incur significant costs in connection with remediation efforts and other actions in connection with actual or suspected compromises, breaches, or incidents, including the costs of notifying applicable regulators and affected users, offering credit monitoring services, or upgrading or replacing our cybersecurity systems, frameworks, and protocols. We may also incur negative publicity or significant legal and financial exposure, including regulatory investigations and other proceedings, private claims, demands, litigation, and other proceedings, higher transaction fees, and damages, fines, penalties, and other liabilities as a result of any actual or perceived cyberattack, compromise or breach of, or incident impacting, our systems or cybersecurity, or the systems and cybersecurity of our third-party providers. Any of the foregoing could adversely affect our business, financial condition, and results of operations.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Although we may have contractual protections with our third-party service providers that process personal information or other confidential information on our behalf, these provisions may not be sufficient to adequately protect us from any liabilities and losses relating to any cyberattack, compromise, or other security breach or incident these service providers may suffer, and we may be unable to enforce any such contractual protections. Further, with respect to any security breach suffered by a third-party service provider, we may not receive timely notice of or sufficient information about the breach or be able to exert any meaningful control or influence over how and when the breach is addressed.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While our insurance policies include liability coverage for certain of these matters, subject to retention amounts that could be substantial, if we experience a significant security breach or incident, we could be subject to liability or other damages that exceed our insurance coverage, and we cannot be certain that such insurance policies will continue to be available to us on economically reasonable and acceptable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adversely affect our business, financial condition, and results of operations.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may also incur significant costs for using alternative equipment or taking other actions in preparation for, or in reaction to, events that damage, interrupt, or otherwise disrupt the third-party resources or services we use. Any prolonged service degradation or disruption affecting our platform could damage our reputation with current and potential customers, expose us to liability, cause us to lose customers, or otherwise adversely affect our business, financial condition, and results of operations.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platform is accessed by many customers and prospective customers, often at the same time. As our customer base and range of product offerings continue to expand, we may not be able to scale our technology to accommodate the increased capacity requirements, which may result in interruptions or delays in service. In addition, the failure of third-party service providers to meet our capacity requirements could result in interruptions or delays in access to our platform or impede our ability to grow our business and scale our operations. If our third-party service agreements are terminated, or there is a lapse of service, interruption of internet service provider connectivity, or damage to data centers, we could experience interruptions in access to our platform as well as delays and additional expense in arranging new facilities and services. Any service disruption affecting our platform could damage our reputation with current and potential customers, expose us to liability, cause us to lose customers, or otherwise adversely affect our business, financial condition, and results of operations.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Additionally, the technology and other controls and processes we have created to help us identify misrepresented information in our loan production operations were designed to obtain reasonable, not absolute, assurance that such information is identified and addressed appropriately. Accordingly, such controls may not have detected, and may fail in the future to detect, all misrepresented information in our operations.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If our operations are disrupted or otherwise negatively affected by a technology disruption or failure, this could result in customer dissatisfaction and damage to our reputation and brand, and adversely affect our business, financial condition, and results of operations. We do not carry business interruption insurance sufficient to compensate us for all losses that may result from interruptions in our service as a result of systems disruptions, failures, or similar events.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0" w:after="180"/>
        <w:jc w:val="left"/>
        <w:rPr/>
      </w:pPr>
      <w:hyperlink w:anchor="i8e13d1b6f3764394b0e424082d2ac79f_7">
        <w:r>
          <w:rPr>
            <w:rStyle w:val="InternetLink"/>
            <w:rFonts w:ascii="Times New Roman;serif" w:hAnsi="Times New Roman;serif"/>
            <w:b w:val="false"/>
            <w:color w:val="000080"/>
            <w:sz w:val="20"/>
            <w:u w:val="single"/>
          </w:rPr>
          <w:t>Table of Content</w:t>
        </w:r>
      </w:hyperlink>
      <w:hyperlink w:anchor="i8e13d1b6f3764394b0e424082d2ac79f_7">
        <w:r>
          <w:rPr>
            <w:rStyle w:val="InternetLink"/>
            <w:rFonts w:ascii="Times New Roman;serif" w:hAnsi="Times New Roman;serif"/>
            <w:b w:val="false"/>
            <w:color w:val="000080"/>
            <w:sz w:val="20"/>
            <w:u w:val="single"/>
          </w:rPr>
          <w:t>s</w:t>
        </w:r>
      </w:hyperlink>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The collection, processing, use, storage, sharing, disclosure, and transmission of personal information could give rise to liabilities as a result of federal, state and international laws and regulations, as well as our failure to adhere to the privacy and data security practices that we articulate to our customers.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collect, store, use, share, disclose, transmit, and otherwise process a large volume of personal and other non-public data, including from and about current, past, and prospective customers, as well as our employees and business contacts. We also depend on a number of third-party vendors in relation to the operation of our business, a number of which process such personal information and other non-public data on our behalf. There are federal, state, and foreign laws, rules and regulations regarding privacy, data security and the collection, use, storage, protection, sharing, disclosure, transmission, and other processing of personal information and non-public data, many of which currently and may in the future apply to our business. These requirements, and their application, interpretation and amendment are constantly evolving. It is also possible that new laws, regulations and other requirements, or amendments to or changes in interpretations of existing laws, regulations and other requirements, may require us to incur significant costs, implement new processes, or change our handling of information and business operations, which could ultimately hinder our ability to grow our business by extracting value from our data assets. Additionally, many states continue to enact legislation on matters of data privacy, information security, cybersecurity, security breaches, and security breach notification requirements.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For example, the California Consumer Privacy Act, as amended by the California Privacy Rights Act (as amended, the “CCPA”), grants comprehensive rights to consumers with respect to data privacy in California. The CCPA, among other things, entitles California residents to several rights, including the right to know how their personal information is being collected, used, disclosed, sold or shared, to access or request the deletion or correction of their personal information, to opt out of the sharing or sale of their personal information, and to limit the use of their sensitive personal information. The CCPA also established the California Privacy Protection Agency to oversee and enforce these requirements. Most of the personal information collected, processed, and disclosed by us is subject to the Gramm-Leach-Bliley Act (the “GLBA”) (and certain state analogs in California, Vermont, and North Dakota) and thus is exempt from the CCPA, except for consumers’ private right of action in the event of a data breach. However, personal information that falls outside the purview of the GLBA, such as business-to-business data, employee information, and web analytics, is subject to the CCPA and its regulations.</w:t>
      </w:r>
    </w:p>
    <w:p>
      <w:pPr>
        <w:pStyle w:val="TextBody"/>
        <w:bidi w:val="0"/>
        <w:spacing w:lineRule="auto" w:line="288" w:before="0" w:after="180"/>
        <w:jc w:val="both"/>
        <w:rPr/>
      </w:pPr>
      <w:r>
        <w:rPr>
          <w:rFonts w:ascii="Times New Roman;serif" w:hAnsi="Times New Roman;serif"/>
          <w:b w:val="false"/>
          <w:color w:val="000000"/>
          <w:sz w:val="20"/>
        </w:rPr>
        <w:t xml:space="preserve">The enactment of the CCPA is prompting a wave of similar legislative developments in other states in the United States, which creates a patchwork of overlapping but different state laws. For example, since the CCPA went into effect, comprehensive privacy statutes that share similarities with the CCPA are now in effect and enforceable in numerous states, and will soon be enforceable in several other states as well. Similar laws have been proposed in many other states and at the federal level as well. In addition, all 50 states have laws that require the provision of notification for security breaches of personal information to affected individuals, state officers or others. We cannot predict the full impact of the </w:t>
      </w:r>
      <w:r>
        <w:rPr>
          <w:rFonts w:ascii="Times New Roman;serif" w:hAnsi="Times New Roman;serif"/>
          <w:b w:val="false"/>
          <w:color w:val="000000"/>
          <w:sz w:val="24"/>
        </w:rPr>
        <w:t>CCPA</w:t>
      </w:r>
      <w:r>
        <w:rPr>
          <w:color w:val="000000"/>
        </w:rPr>
        <w:t xml:space="preserve"> </w:t>
      </w:r>
      <w:r>
        <w:rPr>
          <w:rFonts w:ascii="Times New Roman;serif" w:hAnsi="Times New Roman;serif"/>
          <w:b w:val="false"/>
          <w:color w:val="000000"/>
          <w:sz w:val="20"/>
        </w:rPr>
        <w:t>and other evolving legislation relating to privacy or cybersecurity on our business, financial condition, and results of operations, but such impact is potentially significant and may require us to modify our data collection or processing practices and policies and to incur substantial costs and expenses in an effort to comply and increase our potential exposure to regulatory enforcement and/or litigation.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Moreover, we are subject to certain U.S. State laws regarding the processing of biometric identifiers, including the Illinois Biometric Information Privacy Act (“BIPA”), which applies to the collection and use of “biometric identifiers” and “biometric information” which include finger and face prints. A business required to comply with BIPA is not permitted to sell, lease, trade or otherwise profit from biometric identifiers or biometric information it collects, and is also under obligations to have a written policy with respect to the retention and destruction of all biometric identifiers and biometric information; ensure that it informs the subject of the collection and the purpose of the collection and obtains consent for such collection; and obtain consent for any disclosure of biometric identifiers or biometric information. Individuals are afforded a private right of action under BIPA and may recover statutory damages and reasonable attorneys’ fees and costs. Several class action lawsuits have been brought under BIPA, as the statute is broad and still being interpreted by the courts.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In the United States, at the federal level, we are subject to various rules and regulations with respect to privacy, data protection and cybersecurity, including the GLBA, the FCRA, the GLBA Safeguards Rule, and those promulgated under the authority of the Federal Trade Commission (the “FTC”), which regulates unfair or deceptive acts or practices, and the CFPB, which enforces federal consumer financial laws. The GLBA, together with related regulations issued by the CFPB, restrict the collection, storage, use, disclosure, and other processing of certain personal information by financial services providers. Such regulations also require lenders and other financial institutions to provide notice to individuals of privacy practices and provide individuals with certain rights to prevent the use and disclosure of certain non-public or otherwise legally protected information. Among other obligations, the FCRA, along with its implementing regulations, limit the use and disclosure of consumer report information, which is broadly defined. CFPB guidance also imposes requirements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88" w:before="0" w:after="180"/>
        <w:jc w:val="left"/>
        <w:rPr/>
      </w:pPr>
      <w:hyperlink w:anchor="i8e13d1b6f3764394b0e424082d2ac79f_7">
        <w:r>
          <w:rPr>
            <w:rStyle w:val="InternetLink"/>
            <w:rFonts w:ascii="Times New Roman;serif" w:hAnsi="Times New Roman;serif"/>
            <w:b w:val="false"/>
            <w:color w:val="000080"/>
            <w:sz w:val="20"/>
            <w:u w:val="single"/>
          </w:rPr>
          <w:t>Table of Content</w:t>
        </w:r>
      </w:hyperlink>
      <w:hyperlink w:anchor="i8e13d1b6f3764394b0e424082d2ac79f_7">
        <w:r>
          <w:rPr>
            <w:rStyle w:val="InternetLink"/>
            <w:rFonts w:ascii="Times New Roman;serif" w:hAnsi="Times New Roman;serif"/>
            <w:b w:val="false"/>
            <w:color w:val="000080"/>
            <w:sz w:val="20"/>
            <w:u w:val="single"/>
          </w:rPr>
          <w: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safeguarding and proper destruction of personal information through the issuance of data security expectations. Pursuant to its rulemaking authority under the GLBA, in 2023, the FTC updated its Standards for Safeguarding Customer Information, setting new, minimum standards for certain financial institutions’ information security programs. These rules impose prescriptive requirements on lenders and other financial institutions relating to such programs, including in relation to accountability and oversight, performing risk assessments, encryption standards, and access controls. Additionally, in October 2024, the CFPB finalized a new rule relating to the use and storage of data by lenders and other financial service providers, including regarding data portability, which became effective in January 2025, but which may be subject to reconsideration by the CFPB under the current administration. The U.S. Congress also has considered, and may in the future consider, various proposals for privacy, data protection, and cybersecurity legislation. Additionally, in July 2023, the SEC adopted new cybersecurity disclosure rules for public companies that require the disclosure of certain information about cybersecurity risk management (including the corporate board’s role in overseeing cybersecurity risks, management’s role and expertise in assessing and managing cybersecurity risks, and processes for assessing, identifying and managing cybersecurity risks) in annual reports. These cybersecurity disclosure rules also require the disclosure of material cybersecurity incidents in a Current Report on Form 8-K, generally within four days of determining an incident is material.</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Additionally, we are considered a “user” of consumer reports provided by consumer reporting agencies (“CRAs”) under the Fair Credit Reporting Act, as amended by the FCRA. The FCRA regulates the use and sharing of consumer information collected by CRAs that bear on a consumer's credit worthiness, credit standing, credit capacity, character, general reputation, personal characteristics, or mode of living which is used or expected to be used or collected in whole or in part for the purpose of serving as a factor in establishing the consumer's eligibility for certain benefits (e.g., credit, employment, etc.), and imposes specific obligations on CRAs, “furnishers” of information to CRAs, and “users” of consumer reports. Such obligations may include restricting the sharing of information contained in a consumer report, providing consumers with an adverse action notice when such reports (or information therein) are used to make an adverse decision or take an adverse action against a consumer, and, in the context of completing employee background checks, providing a notice containing certain disclosures to the consumer and obtaining their consent. As a “user,” we must have a permissible purpose to access a consumer report, such as for credit evaluation or employment background checks. The FCRA also grants consumers specific rights, including the right to know what is in their file, request a credit score (linked to certain types of consumer reports), dispute incomplete or inaccurate information, limit prescreened offers of credit and insurance, place a fraud alert, and obtain a security freeze. Noncompliance with the FCRA can lead to civil and criminal penalties, and the FCRA permits consumers to bring a private right of action for certain violations of the FCRA.</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Laws, regulations, and standards covering marketing, advertising, and other activities conducted by telephone, email, mobile devices, and the internet may be or become applicable to our business, such as the Federal Communications Act, the Federal Wiretap Act, the Electronic Communications Privacy Act, the Telephone Consumer Protection Act (the “TCPA”), the Controlling the Assault of Non-Solicited Pornography and Marketing Act of 2003 (the “CAN-SPAM Act”), and similar state consumer protection and communication privacy laws, such as California’s Invasion of Privacy Act.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send short message service, or SMS, text messages to customers. The actual or perceived improper sending of text messages may subject us to potential risks, including liabilities or claims relating to consumer protection laws such as the TCPA, which imposes significant restrictions on the ability to make telephone calls or send text messages to mobile telephone numbers without the prior consent of the person being contacted. Federal or state regulatory authorities or private litigants may claim that the notices and disclosures we provide, form of consents we obtain, or our SMS texting practices are not adequate or violate applicable law. This may in the future result in civil claims against us, which could be costly to litigate, whether or not they have merit, and could expose us to substantial statutory damages, costly settlements, or reputational risk.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also send marketing messages via email and are subject to the CAN-SPAM Act. The CAN-SPAM Act imposes certain obligations regarding the content of emails and providing opt-outs (with the corresponding requirement to honor such opt-outs promptly). While we strive to ensure that all of our marketing communications comply with the requirements set forth in the CAN-SPAM Act, any violations could result in the FTC and/or state regulators/attorneys general seeking civil penalties against us.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Additionally, in 2024, the National Security Division of the U.S. Department of Justice (DOJ) issued a new rule—referred to as the “Data Security Program” (DSP)—to implement Executive Order 14117 aimed at preventing access to “bulk U.S. sensitive personal data” and “government-related data” by “countries of concern” (including China, Russia, Iran, North Korea, Cuba, and Venezuela) and “covered persons” (as all such terms are defined in the DSP). Effective as of April 8, 2025, and fully enforceable as of July 9, 2025, the DSP imposes stringent obligations on companies within its scope and prohibits or restricts “covered data transactions” that grant countries of concern or covered persons access to bulk U.S.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88" w:before="0" w:after="180"/>
        <w:jc w:val="left"/>
        <w:rPr/>
      </w:pPr>
      <w:hyperlink w:anchor="i8e13d1b6f3764394b0e424082d2ac79f_7">
        <w:r>
          <w:rPr>
            <w:rStyle w:val="InternetLink"/>
            <w:rFonts w:ascii="Times New Roman;serif" w:hAnsi="Times New Roman;serif"/>
            <w:b w:val="false"/>
            <w:color w:val="000080"/>
            <w:sz w:val="20"/>
            <w:u w:val="single"/>
          </w:rPr>
          <w:t>Table of Content</w:t>
        </w:r>
      </w:hyperlink>
      <w:hyperlink w:anchor="i8e13d1b6f3764394b0e424082d2ac79f_7">
        <w:r>
          <w:rPr>
            <w:rStyle w:val="InternetLink"/>
            <w:rFonts w:ascii="Times New Roman;serif" w:hAnsi="Times New Roman;serif"/>
            <w:b w:val="false"/>
            <w:color w:val="000080"/>
            <w:sz w:val="20"/>
            <w:u w:val="single"/>
          </w:rPr>
          <w: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sensitive personal data or any amount of government-related data. The DSP is new, complex and has yet to be enforced, and as such, there is a risk that our interpretation of its applicability, scope, and requirements is incorrect, incomplete, or misapplied. </w:t>
      </w:r>
    </w:p>
    <w:p>
      <w:pPr>
        <w:pStyle w:val="TextBody"/>
        <w:bidi w:val="0"/>
        <w:spacing w:lineRule="auto" w:line="288" w:before="0" w:after="180"/>
        <w:jc w:val="both"/>
        <w:rPr/>
      </w:pPr>
      <w:r>
        <w:rPr>
          <w:rFonts w:ascii="Times New Roman;serif" w:hAnsi="Times New Roman;serif"/>
          <w:b w:val="false"/>
          <w:color w:val="000000"/>
          <w:sz w:val="20"/>
          <w:shd w:fill="FFFFFF" w:val="clear"/>
        </w:rPr>
        <w:t>Based on our assessment of the DSP, we do not believe we engage in covered data transactions at this time, though we may discover that we do or we may begin doing so in the future. Com</w:t>
      </w:r>
      <w:r>
        <w:rPr>
          <w:rFonts w:ascii="Times New Roman;serif" w:hAnsi="Times New Roman;serif"/>
          <w:b w:val="false"/>
          <w:color w:val="000000"/>
          <w:sz w:val="20"/>
        </w:rPr>
        <w:t>pliance with the DSP may require us to invest heavily in data security and compliance measures, such as implementing and complying with the Cybersecurity and Infrastructure Security Agency’s guidelines and other burdensome recordkeeping, reporting, and auditing requirements. It may also require us to implement new processes, stop or restrict certain data transfers, alter the geographic scope of our operations, cease doing business with certain third parties or using certain tools or vendors, or change how data flows throughout our business, any of which could materially impact our business operations or hinder our ability to grow our business. Finally, non-compliance with the DSP could result in significant civil or criminal penalties, which could materially adversely affect our business, results of operations, and financial condition.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Outside of the United States, certain foreign jurisdictions, including the European Union, have adopted onerous laws and regulations relating to data protection and cybersecurity, including the General Data Protection Regulation (”GDPR”), which may apply to our collection, use, transfer and other processing of personal information and impose significant security related obligations. The GDPR is wide-ranging in scope and imposes numerous obligations on companies that process personal data regarding individuals who are located in the European Economic Area (“EEA”) or conduct certain other processing activities connected to the EEA, including requiring that data controllers and processors maintain a record of their data processing and policies and requiring that certain measures (including contractual requirements) are put in place when engaging third-party processors. The GDPR also grants certain individuals various rights in respect of their personal data, including rights of access, erasure, portability, rectification, restriction, and objection. In addition, following the withdrawal of the United Kingdom from the European Union, the U.K. Data Protection Act 2018 (“UK GDPR”) applies to the processing of personal data that takes place in the United Kingdom and includes broadly parallel obligations to those set forth in the GDPR. Any violation of data or security laws, including the GDPR and UK GDPR, or other legal obligations could have an adverse effect on our business and result in substantial fines and penalties. Actual or perceived contraventions may also lead to civil claims including representative actions and other class action type litigation, potentially amounting to significant compensation or damages liabilities, as well as associated costs and reputational harm.</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may also be subject to complex and evolving requirements with respect to cross-border transfers of personal data out of foreign jurisdictions. The GDPR and UK GDPR place restrictions on the transfer of personal data from the European Union and the United Kingdom, as applicable, to certain third countries (including the United States), and the mechanisms to comply with such obligations are also in considerable flux and may lead to greater operational burdens, costs and compliance risks. Certain legal developments in Europe have created complexity and uncertainty regarding transfers of personal data from the EEA to the United States, which will affect us if we begin to transfer personal data from the EEA to other jurisdictions. In July 2023, the European Commission adopted an adequacy decision in relation to the new EU-U.S. Data Privacy Framework (“EU-U.S. DPF”), rendering the EU-U.S. DPF effective as a GDPR transfer mechanism for personal data transferred from the EEA to the United States by participating United States entities. However, the EU-U.S. DPF adequacy decisions do not foreclose future legal challenges and the ongoing legal uncertainty with respect to international data transfers may increase our costs and our ability to efficiently process personal data from the EEA. Other data transfer mechanisms such as the standard contractual clauses approved by the European Commission have faced challenges in European courts, may require additional risk analysis and supplemental measures to be used, and may be challenged, suspended or invalidated. Additionally, in October 2023, a UK-U.S. Data Bridge came into force to facilitate transfers of personal data from the United Kingdom to the United States; however, this too may in the future be challenged, suspended or invalidated. Loss of our ability to lawfully transfer personal data out of the EEA and United Kingdom to the United States or any other jurisdictions may require us to increase our data processing capabilities in the EEA and/or United Kingdom at significant expense. If we are otherwise unable to transfer personal data between and among countries and regions in which we operate, it could affect the manner in which we perform our operations or provide our services, the geographical location or segregation of our relevant systems and operations and adversely affect our financial results. These international laws, rules and regulations may apply not only to us, but also to our partners, vendors or other third-party service providers that store or otherwise process personal data on our behalf, such as information technology vendors, and any of the foregoing limitations could impact our ability to work with such partners, vendors or other third-party service providers in certain jurisdictions. The regulatory framework for privacy and data protection, both in the United States and worldwide, is rapidly evolving and, as a result, implementation standards and enforcement practices are likely to continue to evolve for the foreseeable future. We anticipate additional states and foreign jurisdictions continuing to propose, and in certain cases, to enact, laws relating to privacy, information security, and cybersecurity. The U.S. federal government also has proposed federal privacy legislation. Such proposed legislation or U.S. federal privacy legislation, if enacted, may add additional complexity, variation in requirements, restrictions, and potential legal risk, require additional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88" w:before="0" w:after="180"/>
        <w:jc w:val="left"/>
        <w:rPr/>
      </w:pPr>
      <w:hyperlink w:anchor="i8e13d1b6f3764394b0e424082d2ac79f_7">
        <w:r>
          <w:rPr>
            <w:rStyle w:val="InternetLink"/>
            <w:rFonts w:ascii="Times New Roman;serif" w:hAnsi="Times New Roman;serif"/>
            <w:b w:val="false"/>
            <w:color w:val="000080"/>
            <w:sz w:val="20"/>
            <w:u w:val="single"/>
          </w:rPr>
          <w:t>Table of Content</w:t>
        </w:r>
      </w:hyperlink>
      <w:hyperlink w:anchor="i8e13d1b6f3764394b0e424082d2ac79f_7">
        <w:r>
          <w:rPr>
            <w:rStyle w:val="InternetLink"/>
            <w:rFonts w:ascii="Times New Roman;serif" w:hAnsi="Times New Roman;serif"/>
            <w:b w:val="false"/>
            <w:color w:val="000080"/>
            <w:sz w:val="20"/>
            <w:u w:val="single"/>
          </w:rPr>
          <w: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investment of resources in compliance programs, impact strategies and the availability of previously useful data and could result in increased compliance costs and/or changes in business practices and policies.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Additionally, we may be bound by contractual requirements applicable to our collection, use, storage, sharing, disclosure, transmission, and other processing of various types of data, including personal information, and may be bound or asserted to be bound by, or voluntarily comply with, self-regulatory or other industry standards relating to these matters. Furthermore, we make and have made statements, including in our online privacy policy and website, regarding our privacy, information security, and data security practices, which must accurately describe our privacy and cybersecurity practices and procedures.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Any failure or perceived failure by us or any third parties we engage or do business with to comply with laws, rules, regulations, industry standards, contractual requirements, our public or other statements, or other actual or asserted obligations to which we or such third parties are or may become subject, relating to privacy, information security and cybersecurity, may result in significant liability, adverse publicity, inability to process data and investigations, proceedings and other legal actions against us by governmental entities, and private claims, demands, and litigation. Any such action or other matter could be expensive to defend, may require the expenditure of substantial legal and other costs and substantial time and resources, may result in fines, penalties, or other liabilities, and likely would damage our reputation and adversely affect our business, financial condition, and results of operations. If either we, or the third-party service providers with which we share customer data or that otherwise process personal information on our behalf, are unable to address privacy concerns, even if unfounded, or to comply with applicable laws and regulations, such conditions could result in additional costs and liability, harm our reputation, and adversely affect our business, financial condition, and results of operations.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Further, in view of new or modified laws or regulations, as well as industry standards, contractual obligations or other obligations, or any changes in their interpretation, we may find it necessary or desirable to fundamentally change our business activities and practices or to expend significant resources to modify our services, and otherwise adapt to these changes. We may be unable to make such changes and modifications in a commercially reasonable manner or at all, and our ability to develop new features could be limited. Privacy and cybersecurity concerns, whether valid or invalid, may inhibit the use and growth of our platform.</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Any significant system interruption or delays could result in a potential loss of customers and adversely affect us and our ability to provide services, which could adversely affect our business, financial condition, and results of operations.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rely on affiliate and third-party computer systems, broadband, and other communications systems and service providers in connection with the provision of services generally. In addition, we also rely on third-party service providers, including credit bureaus, to obtain the data used by our platform to verify the creditworthiness of potential customers. Any failures, interruptions, outages, or delays in our or our affiliates’ systems and infrastructures, or the systems and infrastructures of the third-party service providers we use, or deterioration in the performance of these systems and infrastructures, including as a result of inadequate or failed technology or processes, unplanned or unsuccessful updates to technology, sudden increases in transaction volume, human errors, fraud or other misconduct, energy or similar infrastructure outages, disruptions in communications networks or systems, natural disasters, catastrophic events, pandemics, acts of terrorism, political or social unrest, external or internal security breaches, acts of vandalism, cyberattacks such as computer viruses and malware, misplaced or lost data or breakdowns in business continuity plans, could impair our ability to provide services and process transactions. We may in the future experience system interruptions caused by outages or other deterioration in service that make some or all systems or data unavailable or prevent us from efficiently providing services.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outsource our cloud infrastructure to GCP, which hosts our products and software, and therefore are vulnerable to service interruptions at GCP, which could impact the ability of customers to access our services at any time, without interruption or degradation of performance. We do not have control over the operations of the facilities of GCP that we use. GCP may terminate its service agreements with us at its convenience at any time. In the event that the GCP service agreements are terminated, or there is a lapse of service, interruption of internet service provider connectivity or damage to such facilities, we could experience interruptions in access or lose access to our facilities and services, as well as delays and additional expense in arranging new facilities and services. Further, to the extent that the systems or infrastructure of third-party service providers are involved, we may have little or no knowledge, control or influence over how and when failures or delays are addressed, if at all. We may also incur significant costs for using an alternative cloud infrastructure provider or taking other actions in preparation for, or in reaction to, events that damage the GCP services it uses. We primarily rely on GCP for cloud infrastructure, and any disruption of or interference with our use of GCP could adversely affect our business, financial condition, and results of operations. Additionally, if we fail to comply with our obligations under the GCP service agreements or other agreements with our third-party service providers or if we are unable to renew such agreements on reasonable terms (or at all), our operations could be disrupted, which could adversely affect our business,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88" w:before="0" w:after="180"/>
        <w:jc w:val="left"/>
        <w:rPr/>
      </w:pPr>
      <w:hyperlink w:anchor="i8e13d1b6f3764394b0e424082d2ac79f_7">
        <w:r>
          <w:rPr>
            <w:rStyle w:val="InternetLink"/>
            <w:rFonts w:ascii="Times New Roman;serif" w:hAnsi="Times New Roman;serif"/>
            <w:b w:val="false"/>
            <w:color w:val="000080"/>
            <w:sz w:val="20"/>
            <w:u w:val="single"/>
          </w:rPr>
          <w:t>Table of Content</w:t>
        </w:r>
      </w:hyperlink>
      <w:hyperlink w:anchor="i8e13d1b6f3764394b0e424082d2ac79f_7">
        <w:r>
          <w:rPr>
            <w:rStyle w:val="InternetLink"/>
            <w:rFonts w:ascii="Times New Roman;serif" w:hAnsi="Times New Roman;serif"/>
            <w:b w:val="false"/>
            <w:color w:val="000080"/>
            <w:sz w:val="20"/>
            <w:u w:val="single"/>
          </w:rPr>
          <w: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financial condition, and results of operations. Any negative publicity arising from these disruptions could harm our reputation and brand and adversely affect our business, financial condition, and results of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If our technology suffers from errors or attacks, our business operations could be negatively affected, which may have an adverse effect on our business, financial condition, and results of operations.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rely on software that is highly complex; and it may contain undetected errors or vulnerabilities and may not function properly. The software underlying the services offered by our platform may contain undetected errors or vulnerabilities, some of which may only be discovered after the code has been used in a production environment to deliver products and services. This technology may malfunction because of internal problems, cyberattacks or security breaches or incidents, or our inability to successfully develop the technology. Any real or perceived errors, failures, bugs, or other vulnerabilities discovered in the relevant computer code could adversely affect our business, financial condition, and results of operations.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Any significant system interruption or delays could result in a potential loss of customers and adversely impact our ability to provide our products and services to customers. We rely on affiliate and third-party computer systems, broadband, and other communications systems and service providers in connection with the provision of services generally. Any interruptions, outages, or delays in any of these systems and infrastructure and third-party systems that we use, or deterioration in the performance of these systems and infrastructure, could impair our ability to provide services and process transactions. We may in the future experience system interruptions caused by outages that make some or all systems or data unavailable or prevent us from efficiently providing services. Any of these events could adversely affect our business, financial condition, and results of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use of blockchain technology, artificial intelligence, machine learning and other similar tools could adversely affect our products and services, harm our reputation, or cause us to incur liability resulting from harm to individuals or violation of laws and regulations or contracts to which we are a party.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use blockchain technology, machine learning, and artificial intelligence throughout our business. For example, we use machine learning to help us with data analysis, marketing, and customer support. The use of such tools may enhance legal, operational, regulatory, technological, and related contractual risks as the technologies underlying such tools and their use cases are subject to a variety of laws and regulations, and in recent years, use of these technologies has come under increased regulatory scrutiny. These include intellectual property, privacy, data protection and cybersecurity, consumer protection, competition and equal opportunity laws, with significant uncertainty regarding many of these laws’ and regulations’ interpretation and enforcement. For example, our use of machine learning and artificial intelligence in decision-making processes, such as credit assessments, could pose risks of non-compliance with fair lending laws at both the federal and state levels. At the federal level, this includes the Equal Credit Opportunity Act (the “ECOA”) and the Fair Housing Act, which prohibit creditors and other persons from engaging in lending practices that discriminate against individuals based on certain prohibited bases. Additionally, there is an increasing movement toward states regulating artificial intelligence, which may create a patchwork of potentially conflicting compliance obligations that can be difficult to manage for companies that operate on a nationwide basis. Any failure to comply with laws such as these could result in significant legal and financial consequences.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with many technological innovations, there are significant risks involved in developing, maintaining and deploying these technologies, and there can be no assurance that the usage of or our investments in such technologies will always enhance our products or services or be beneficial to our business, including our efficiency or profitability. In particular, if we do not have sufficient rights to use the data or intellectual property on which our blockchain technology, machine learning, and artificial intelligence tools rely, or if such technologies are trained or reliant on inaccurate, incomplete, biased or otherwise poor quality data, we may incur liability through the violation of applicable laws or third-party privacy, intellectual property or other rights or the breach of contracts to which we are a party, or the performance of our products and services could suffer. Additionally, our reliance on machine learning and artificial intelligence tools could pose ethical concerns, which could have negative implications for our organization and could harm our reputation. Moreover, any content created by us using generative artificial intelligence tools, including software, may not be subject to copyright protection, which may adversely affect our intellectual property rights in, or ability to commercialize or use, any such content. We also may voluntarily comply with, or have it asserted that we must comply with, industry standards, codes of conduct, or other actual or asserted obligations relating to these tools and their use cases. Any failure or perceived failure by us to comply with laws, rules, regulations, industry standards, contractual requirements, or other actual or asserted obligations to which we are or may become subject, may result in significant liability, adverse publicity, inability to process data, investigations, proceedings and other legal actions against us by governmental entities, and private claims, demands, and litigation. Any such action or other matter could be expensive to defend, may require the expenditure of substantial legal and other costs and substantial time and resources, may result in fines, penalties, or other liabilities, and could damage our reputation and adversely affect our business,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88" w:before="0" w:after="180"/>
        <w:jc w:val="left"/>
        <w:rPr/>
      </w:pPr>
      <w:hyperlink w:anchor="i8e13d1b6f3764394b0e424082d2ac79f_7">
        <w:r>
          <w:rPr>
            <w:rStyle w:val="InternetLink"/>
            <w:rFonts w:ascii="Times New Roman;serif" w:hAnsi="Times New Roman;serif"/>
            <w:b w:val="false"/>
            <w:color w:val="000080"/>
            <w:sz w:val="20"/>
            <w:u w:val="single"/>
          </w:rPr>
          <w:t>Table of Content</w:t>
        </w:r>
      </w:hyperlink>
      <w:hyperlink w:anchor="i8e13d1b6f3764394b0e424082d2ac79f_7">
        <w:r>
          <w:rPr>
            <w:rStyle w:val="InternetLink"/>
            <w:rFonts w:ascii="Times New Roman;serif" w:hAnsi="Times New Roman;serif"/>
            <w:b w:val="false"/>
            <w:color w:val="000080"/>
            <w:sz w:val="20"/>
            <w:u w:val="single"/>
          </w:rPr>
          <w: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the regulatory framework for blockchain technology, machine learning technology, artificial intelligence and online platforms evolves, our business, financial condition, and results of operations may be adversely affected. The regulatory framework for blockchain technology, machine learning technology, artificial intelligence, and automated decision-making is evolving, including with respect to the financial services sector. It is possible that new laws and regulations will be adopted in the United States or applicable non-U.S. jurisdictions, or that existing laws and regulations may be interpreted in ways that would affect the operation of our platform and the way in which we use blockchain technology, artificial intelligence, and machine learning technology. For example, the European Union has passed laws and regulations regulating digital services such as certain online platforms and marketplaces, and similarly, the European Union’s Artificial Intelligence Act, which establishes broad obligations for the development and use of AI-based technologies made available in the European Union based on their potential risks and level of impact, came into force on August 1, 2024. In addition, in the United States, the Trump administration rescinded an executive order relating to the safe and secure development of AI technologies that was previously implemented by the Biden administration. The Trump administration then issued a new executive order that, among other things, requires certain agencies to develop and submit to the president action plans to “sustain and enhance America’s global AI dominance,” and to specifically review and, if possible, rescind rulemaking taken pursuant to the rescinded Biden executive order. Thus, the Trump administration may continue to rescind other existing federal orders and/or administrative policies relating to AI technologies, or may implement new executive orders and/or other rule-making relating to AI technologies in the future. Any such changes at the federal level, together with together with the enactment of any new state laws regulating artificial intelligence technologies, could require us to expend significant resources to modify our products, services, or operations to ensure compliance or remain competitive. Further, the cost to comply with such laws or regulations could be significant and would increase our operating expenses, which could adversely affect our business,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Risks Related to Our Intellectual Property</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business, financial condition, and results of operations could be adversely affected if we fail to adequately maintain, protect and enforce our intellectual property and proprietary rights or face allegations that our product offerings or conduct infringes on the intellectual property rights of third parties.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Trademarks, trade secrets, and other intellectual property and proprietary rights are important to our success and our competitive position. We rely on, or may rely on in the future, a combination of trademark, trade secret, patent, and other intellectual property laws, as well as confidentiality procedures and contractual provisions, to establish and protect our intellectual property and proprietary rights. Such means may afford only limited protection of our intellectual property and may not prevent our competitors or other third parties from independently developing products, services, and technology similar to or duplicative of our products and services. These measures may also not prevent misappropriation, infringement, reverse engineering or other violation of intellectual property or proprietary rights owned or licensed by us, particularly in foreign countries where laws or enforcement practices may not protect our proprietary rights as fully as in the United States. In addition, current or departing employees may attempt to misappropriate trade secrets or other proprietary or confidential information in a manner that may be difficult to detect, or to prove in a court action undertaken to remedy the misappropriation. Furthermore, confidentiality procedures and contractual provisions can be difficult or costly to enforce and, even if successfully enforced, may not be entirely effective. In addition, we cannot guarantee that we have entered into confidentiality agreements or intellectual property assignment agreements with all employees, partners, independent contractors, consultants, or other third parties that have or may have had access to our trade secrets or other proprietary or confidential information, or developed intellectual property on our behalf. Additionally, such agreements may be breached or adequate remedies may not be available in the event of an unauthorized access, use or disclosure of our trade secrets, other proprietary or confidential information, or other intellectual property.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success depends in large part on the strength of our brands. We rely on our trademarks, service marks, domain names, and logos to protect and market our brands, to build and maintain brand loyalty and recognition, and to generate goodwill. In addition to relying on common law protections, we have registered or applied to register many of these trademarks. While we have registered our material trademarks in many of our significant markets, we have not registered all of our trademarks in all of the jurisdictions in which we currently conduct or intend to conduct business. Further, if we seek to register these trademarks, we cannot be sure that our attempts will be successful, and any applications for trademark registration could be challenged or opposed by third parties. In the event that our trademarks are successfully challenged and we fail to register or lose the rights to use those trademarks, our ability to protect such trademarks may be diminished and we could be forced to rebrand our products and services, requiring us to devote resources to advertising and marketing new brands.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88" w:before="0" w:after="180"/>
        <w:jc w:val="left"/>
        <w:rPr/>
      </w:pPr>
      <w:hyperlink w:anchor="i8e13d1b6f3764394b0e424082d2ac79f_7">
        <w:r>
          <w:rPr>
            <w:rStyle w:val="InternetLink"/>
            <w:rFonts w:ascii="Times New Roman;serif" w:hAnsi="Times New Roman;serif"/>
            <w:b w:val="false"/>
            <w:color w:val="000080"/>
            <w:sz w:val="20"/>
            <w:u w:val="single"/>
          </w:rPr>
          <w:t>Table of Content</w:t>
        </w:r>
      </w:hyperlink>
      <w:hyperlink w:anchor="i8e13d1b6f3764394b0e424082d2ac79f_7">
        <w:r>
          <w:rPr>
            <w:rStyle w:val="InternetLink"/>
            <w:rFonts w:ascii="Times New Roman;serif" w:hAnsi="Times New Roman;serif"/>
            <w:b w:val="false"/>
            <w:color w:val="000080"/>
            <w:sz w:val="20"/>
            <w:u w:val="single"/>
          </w:rPr>
          <w: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order to protect our intellectual property rights, we may be required to spend significant resources. Monitoring for unauthorized use of our intellectual property rights is difficult and costly. Even in cases where we seek patent protection, there is no assurance that our patent application(s) will be successful, or that any resulting patents will effectively protect every significant feature of our technology. In addition, any patents issued to us may be challenged, invalidated, held unenforceable or circumvented in litigation or other proceedings, including re-examination, inter partes review, post-grant review, covered business method review, interference and derivation proceedings and equivalent proceedings in foreign jurisdictions, and such intellectual property rights may be lost or no longer provide us meaningful competitive advantages. Further, we may not be able to timely or successfully apply for a patent or otherwise secure our intellectual property. Any litigation brought to protect and enforce our intellectual property rights could be costly and time consuming, result in the diversion of time and attention of our management team, and may not be successful or could result in the impairment or loss of portions of our intellectual property. Furthermore, attempts to enforce our intellectual property rights against third parties could also provoke these third parties to assert their own intellectual property or other rights against us, or result in a holding that invalidates, or narrows the scope of, our rights, in whole or in part. Our failure to secure, maintain, protect, and/or enforce our intellectual property rights could adversely affect our business, financial condition, and results of operations.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success and ability to compete also depends in part on our ability to operate without infringing, misappropriating, or otherwise violating the intellectual property or proprietary rights of third parties. We may, in the future, encounter disputes from time to time concerning intellectual property rights of others, including our competitors, and we may not prevail in these disputes. Third parties may raise claims against us alleging infringement, misappropriation, or other violations of their intellectual property rights, including trademarks, copyrights, patents, or trade secrets. We may not be aware of whether our products or services, or products and services we license from third parties, infringe or will infringe existing or future patents or other intellectual property rights of others. In addition, there can be no assurance that one or more of our competitors who have developed competing technologies or our other competitors will not be granted patents for their technology and allege that we have infringed such patents. Some third-party intellectual property rights may be broad, and it may not be possible for us to conduct our operations in such a way as to avoid all alleged infringements, misappropriations, or other violations of such intellectual property rights. In addition, former employers of our current, former, or future employees or contractors may assert claims that such employees or contractors have improperly disclosed to us or misappropriated the confidential or proprietary information of these former employers. Litigation may be necessary to defend against alleged infringement or misappropriation of proprietary rights, or determine the validity and scope of proprietary rights claimed by others. Such disputes or litigation could be costly, time consuming and could result in the diversion of time and attention of our management team, and the resolution of any such disputes or litigation is difficult to predict.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Future litigation may also involve non-practicing entities or other intellectual property owners who have no relevant product offerings or revenue and against whom our ownership of intellectual property may therefore provide little or no deterrence or protection. An assertion of an intellectual property infringement, misappropriation or other claim against us, regardless of the merit or resolution of such claim, may be costly, result in adverse judgments, result in settlement on unfavorable terms or cause us to spend significant amounts of time and attention of our management team and technical personnel to defend, even if we ultimately prevail, and we may have to pay significant monetary damages, lose significant revenues, be prohibited from using the relevant systems, processes, technologies or other intellectual property (temporarily or permanently), cease providing certain product offerings or incur significant license, royalty or technology development expense, or suffer harm to our brand, any of which could adversely affect our business, financial condition, and results of operations. In addition, although in some cases a third party may have agreed to indemnify us for such infringement, misappropriation or other violation, such indemnifying party may refuse or be unable to uphold its contractual obligations, or such indemnification may not sufficiently cover the potential claims, which may be significant. In other cases, our insurance may not cover potential claims of this type adequately or at all.</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An adverse determination in any intellectual property claim could require us to pay damages (compensatory or punitive) and/or temporarily or permanently stop using our technologies, trademarks, copyrighted works and other material found to be in violation of another party’s rights and could prevent us from licensing our technologies to others unless we enter into royalty or licensing arrangements with the prevailing party or are able to redesign our product offerings and processes to avoid infringement. Any such license may not be available on reasonable terms, if at all, and there can be no assurance that we would be able to redesign our product offerings in a way that would avoid any such limitation. In addition, such claims, or resulting damages or injunctions, may result in negative publicity about us, which could adversely affect our reputation.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Any successful infringement or other intellectual property claim made against us or our failure to develop non-infringing technology or obtain a license to the rights to the intellectual property of others on commercially reasonable terms could adversely affect our reputation and business,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88" w:before="0" w:after="180"/>
        <w:jc w:val="left"/>
        <w:rPr/>
      </w:pPr>
      <w:hyperlink w:anchor="i8e13d1b6f3764394b0e424082d2ac79f_7">
        <w:r>
          <w:rPr>
            <w:rStyle w:val="InternetLink"/>
            <w:rFonts w:ascii="Times New Roman;serif" w:hAnsi="Times New Roman;serif"/>
            <w:b w:val="false"/>
            <w:color w:val="000080"/>
            <w:sz w:val="20"/>
            <w:u w:val="single"/>
          </w:rPr>
          <w:t>Table of Content</w:t>
        </w:r>
      </w:hyperlink>
      <w:hyperlink w:anchor="i8e13d1b6f3764394b0e424082d2ac79f_7">
        <w:r>
          <w:rPr>
            <w:rStyle w:val="InternetLink"/>
            <w:rFonts w:ascii="Times New Roman;serif" w:hAnsi="Times New Roman;serif"/>
            <w:b w:val="false"/>
            <w:color w:val="000080"/>
            <w:sz w:val="20"/>
            <w:u w:val="single"/>
          </w:rPr>
          <w:t>s</w:t>
        </w:r>
      </w:hyperlink>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One or more of our competitors, or other third parties, may obtain patents or other protections covering technology competitive with or critical to the operation of our products, services, and technology.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 number of organizations are or may be working to develop systems using technologies that may be competitive with our technology, including blockchain-related technologies. Some or all of these organizations, including organizations that may have technology similar to ours, may have greater technological expertise, experience with blockchain technologies and financial resources than we have, and many of them may have been or may be attempting to patent technologies that may be competitive with or similar to our technology, or attempting to reverse engineer our technology. For example, various applications of blockchain technologies may individually or in combination be the subject of a U.S. or foreign patent application.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may ultimately compete with other companies or organizations, which could negatively impact our products and technology, including our loan servicing and information management software, and may prevent the further development of our products and technology entirely. For example, if one or more other persons, companies or organizations has or obtains a valid patent covering technology critical to our products or technology, we may be unwilling or unable to license the patent on commercially reasonable terms or at all. As a result, it could become difficult for our products or technology to operate, which could adversely affect our business, financial condition, and results of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software contains third-party open source software components, which could subject our proprietary software to general release, restrict our ability to sell our products and subject us to possible litigation, claims or proceedings.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software contains software modules licensed to us by third-party authors under “open source” licenses, including in connection with Provenance Blockchain. Open source software is critical to the operation of our system and is foundational to our system’s code base. Some open source licenses contain requirements that users who distribute proprietary software containing or linked to open source software publicly make available all or part of the source code for such proprietary software (or modifications or derivative works it creates of the open source code) under the same open source license, which could include proprietary source code. In such cases, the open source software license may also restrict us from charging fees to licensees for their use of our software. If we combine our proprietary software with such open source software in a certain manner or if the license terms for the open source software that we incorporate change, we could, under certain open source licenses, be required to release the source code of our proprietary software to the public. This would allow our competitors to create similar products with lower development effort and time and ultimately could result in a loss of product sales for our business. In addition, failure to comply with our company policies on information technology and intellectual property may create a risk of public disclosure of our confidential, proprietary, or sensitive information, such as source code or business plans, when using certain publicly available or open source software programs that train their models with information provided by users, such as generative artificial intelligence or other software utilizing learning models. In addition to risks related to license requirements, the use of open source software can lead to greater technical and legal risks than the use of third-party commercial software, as open source licensors generally do not provide warranties or contractual protections regarding infringement or controls on the origin of the software or quality of the code, including the existence of security vulnerabilities. Many of the risks associated with the use of open source software cannot be eliminated and could adversely affect our business.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Although we monitor our use of open source software to avoid subjecting our software to conditions we do not intend, such use could inadvertently occur, or could be claimed to have occurred, in part because open source license terms are often ambiguous. The terms of many open source licenses have not been interpreted by U.S. courts or foreign courts, and there is a risk that these licenses could be construed in a way that could impose unanticipated conditions or restrictions on our ability to commercialize our products. Moreover, we cannot assure you that our processes for controlling our use of open source software in our products will be effective. Additionally, we could face claims from third parties claiming ownership of, or demanding release of, any open source software or derivative works that we have developed using such software, which could include proprietary source code, or otherwise seeking to enforce the terms of the applicable open source license. These claims could result in litigation and, if we are found to have breached the terms of an open source software license, we could be required to seek licenses from third parties to continue offering our products on terms that are not economically feasible, to re-engineer our products, to discontinue the sale of our products if re-engineering could not be accomplished on a timely basis, or to make generally available, in source code form, our proprietary code, any of which could adversely affect our business,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Regulatory, Tax and Other Legal Risks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are subject to or facilitate compliance with a variety of federal, state, and local laws, including those related to lending and mortgages, money transmission, consumer protection and loan financings.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88" w:before="0" w:after="180"/>
        <w:jc w:val="left"/>
        <w:rPr/>
      </w:pPr>
      <w:hyperlink w:anchor="i8e13d1b6f3764394b0e424082d2ac79f_7">
        <w:r>
          <w:rPr>
            <w:rStyle w:val="InternetLink"/>
            <w:rFonts w:ascii="Times New Roman;serif" w:hAnsi="Times New Roman;serif"/>
            <w:b w:val="false"/>
            <w:color w:val="000080"/>
            <w:sz w:val="20"/>
            <w:u w:val="single"/>
          </w:rPr>
          <w:t>Table of Content</w:t>
        </w:r>
      </w:hyperlink>
      <w:hyperlink w:anchor="i8e13d1b6f3764394b0e424082d2ac79f_7">
        <w:r>
          <w:rPr>
            <w:rStyle w:val="InternetLink"/>
            <w:rFonts w:ascii="Times New Roman;serif" w:hAnsi="Times New Roman;serif"/>
            <w:b w:val="false"/>
            <w:color w:val="000080"/>
            <w:sz w:val="20"/>
            <w:u w:val="single"/>
          </w:rPr>
          <w: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must comply with regulatory regimes or facilitate compliance with regulatory regimes on our own behalf and on behalf of our partners, which are independently subject to federal and/or state oversight by financial services regulators. These regimes include, but are not limited to, those applicable to the marketing of services, consumer credit transactions, mortgage lending, loan servicing and collection activities, money transmission and virtual currency transactions, the purchase and sale of whole loans and other related transactions, and data privacy. It is possible that regulators or governmental authorities could promulgate rulemakings and bring enforcement actions that adversely affect our business and the business of our partners. These regulators and governmental authorities may augment requirements that apply to lending or other transactions facilitated by our platform, or impose new programs and restrictions, or otherwise revise or create new regulatory requirements that apply to us or our partners, impacting our business, financial condition, and results of operations. The evolving regulatory landscape around financial services and financial technology providers, including the use of artificial intelligence in financial services, also presents potential challenges.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At the federal level, there remains considerable uncertainty as to the current status and future plans for regulations and enforcement activities that may apply to us or our partners. In particular, the status of the CFPB, and the areas of focus or priorities of the CFPB under current or future leadership, are uncertain. On February 7, 2025, the Acting Director of the CFPB instructed all CFPB staff to pause new rulemaking, enforcement investigations, public communications, litigation efforts, and other work, unless such activities are expressly approved by the Acting Director or required by law. However, there is no guarantee that the activities of the CFPB, in whole or in part, will remain suspended, for example because several cases have been brought to challenge various aspects of the suspension and the administration has nominated a new Director whose appointment is subject to Senate confirmation. In addition, even if the activities of the CFPB remain suspended or significantly restrained, some or all state and local regulators or other agencies with authority to administer and enforce laws that apply to us may increase or enhance their regulation, supervision, and enforcement activities with respect to us and other providers of financial services.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Certain federal and state laws generally regulate interest rates and other charges on loans, including mortgage loans, and require specific disclosures. In addition, other federal and state laws may apply to the origination, servicing and collection of loans originated on our platform, money transmission and virtual currency transactions, and the purchase and sale of whole loans or asset-backed securitizations. In particular, certain laws, regulations, and rules that may be applicable to us and/or our partners include: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state lending laws and regulations that require certain parties to hold licenses or other government approvals or make filings regarding the loans we originate or service, or impose requirements related to loan disclosures and terms, fees and interest rates, credit discrimination, credit reporting, servicemember relief, debt collection, repossession, unfair or deceptive business practices and consumer protection, as well as other state laws relating to privacy, information security, and conduct in connection with data breaches;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TILA, including the Home Equity and Ownership Protection Act, and Regulation Z promulgated thereunder and similar state laws, which require certain disclosures to borrowers regarding the terms and conditions of their loans and credit transactions, require creditors to comply with certain lending practice restrictions, and may limit the ability of a creditor to impose certain loan terms, take certain actions, or change the terms of a HELOC or other loans we make after origination;</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RESPA and Regulation X promulgated thereunder, which require certain disclosures to be made to the borrower at application and closing, prohibit giving or accepting any fee, kickback, or other thing of value for the referral of real estate settlement services or accepting a portion or split of a settlement fee other than as fair market value for services actually provided, place limitations on affiliated business arrangements, and require mortgage servicers to comply with certain servicing practice obligations, including with respect to escrow account administration and maintenance;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Fair Housing Act (the “FHA”), the ECOA and Regulation B promulgated thereunder, and similar state fair lending laws, which prohibit creditors from discouraging or discriminating against credit applicants on a prohibited basis, including race, color, sex, age, religion, national origin, family status, disability, and marital status, the fact that all or part of the applicant’s income derives from any public assistance program or the fact that the applicant has in good faith exercised any right under the federal Consumer Credit Protection Act;</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Home Mortgage Disclosure Act (the “HMDA”) and Regulation C promulgated thereunder, which require financial institutions to maintain, report, and publicly disclose loan-level information about their mortgage lending activity in order to help determine whether financial institutions are serving the housing needs of their communities, assist public officials in distributing public-sector investment so as to attract private investment to areas where it is needed, and assist in the enforcement of fair lending and anti-discrimination laws;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lineRule="auto" w:line="288" w:before="0" w:after="180"/>
        <w:jc w:val="left"/>
        <w:rPr/>
      </w:pPr>
      <w:hyperlink w:anchor="i8e13d1b6f3764394b0e424082d2ac79f_7">
        <w:r>
          <w:rPr>
            <w:rStyle w:val="InternetLink"/>
            <w:rFonts w:ascii="Times New Roman;serif" w:hAnsi="Times New Roman;serif"/>
            <w:b w:val="false"/>
            <w:color w:val="000080"/>
            <w:sz w:val="20"/>
            <w:u w:val="single"/>
          </w:rPr>
          <w:t>Table of Content</w:t>
        </w:r>
      </w:hyperlink>
      <w:hyperlink w:anchor="i8e13d1b6f3764394b0e424082d2ac79f_7">
        <w:r>
          <w:rPr>
            <w:rStyle w:val="InternetLink"/>
            <w:rFonts w:ascii="Times New Roman;serif" w:hAnsi="Times New Roman;serif"/>
            <w:b w:val="false"/>
            <w:color w:val="000080"/>
            <w:sz w:val="20"/>
            <w:u w:val="single"/>
          </w:rPr>
          <w:t>s</w:t>
        </w:r>
      </w:hyperlink>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Fair Credit Reporting Act (the “FCRA”) and Regulation V promulgated thereunder, which impose certain obligations on users of consumer reports and those that furnish information to consumer reporting agencies, including obligations relating to obtaining consumer reports, marketing using consumer reports, taking adverse action based on consumer report information, addressing risks of identity theft and fraud and protecting the privacy and security of consumer reports and consumer report information;</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Fair Debt Collection Practices Act (the “FDCPA”), which provides guidelines and limitations on the conduct of certain debt collectors in connection with the collection of consumer debts, including limits on certain communications with third parties, notice and debt validation requirements, and prohibitions on threatening, harassing, or abusive conduct in the course of debt collection, as well as similar state laws that may apply more broadly to both third-party debt collectors and creditors who collect their own debts;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Consumer Financial Protection Act, enacted as part of the Dodd-Frank Wall Street Reform and Consumer Protection Act, which (among other things) created the CFPB and gave it broad rulemaking authority over certain enumerated consumer financial laws and supervisory and enforcement jurisdiction over mortgage originators and servicers, and prohibits any unfair, deceptive or abusive acts or practices in connection with any consumer financial product or service;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Section 5 of the Federal Trade Commission Act (the “FTC Act”), which prohibits unfair and deceptive acts or practices in or affecting commerce, and Section 1031 of the Dodd-Frank Act, which prohibits unfair, deceptive, or abusive acts or practices in connection with any consumer financial product or service, as well as analogous state laws prohibiting unfair, deceptive, or abusive acts or practices;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state and federal laws and regulations relating to privacy and cybersecurity, including the GLBA and Regulation P promulgated thereunder, which limit financial institutions’ disclosure of non-public personal information, require certain privacy notices, and mandate safeguarding personal borrower information;</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Secure and Fair Enforcement for Mortgage Licensing Act, which imposes state licensing requirements on mortgage loan originators.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federal bankruptcy code, which limits the extent to which creditors may seek to enforce debts against parties who have filed for bankruptcy protection;</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Servicemembers Civil Relief Act (the “SCRA”), which allows military members to suspend or postpone certain civil obligations, requires creditors to reduce the interest rate to 6.0% on loans incurred before a servicemember entered active duty, and imposes certain obligations and restrictions on the enforcement of loans to servicemembers, including limitations on foreclosure or repossession of property securing certain loans, so that military members can focus on their duties;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Military Lending Act (the “MLA”), which provides disclosure requirements, limits the rate of interest and non-interest charges, imposes substantive conduct obligations and prohibitions on certain behavior and contractual terms relating to loans made to covered borrowers, which include both servicemembers and their dependents;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Electronic Fund Transfer Act and Regulation E promulgated thereunder, which provide guidelines and restrictions on the electronic transfer of funds from consumers’ bank accounts, including disclosure and authorization requirements in connection with preauthorized (recurring) electronic fund transfers for loan payments;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Controlling the Assault of Non-Solicited Pornography and Marketing Act, the Telemarketing Sales Rule and analogous state laws, which impose various restrictions on marketing conducted through the use of email, telephone, fax, or text message;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Bank Secrecy Act (the “BSA”), as amended by the USA PATRIOT Act, and the regulations promulgated thereunder, relate to compliance with anti-money laundering and counter-terrorist financing laws. They require us, as a money services business, broker-dealer, loan or finance company, and/or other regulated entity, to, among other things, develop, implement and maintain an anti-money laundering program, report suspicious activities and transactions to the Financial Crimes Enforcement Network (the “FinCEN”), comply with certain reporting and recordkeeping requirements, and collect and maintain information about customers. Additionally, state laws and regulations govern money transmission, money services, and virtual currency activity, some of which require certain parties to hold licenses or other government approvals and may otherwise place restrictions or obligations on the operation of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lineRule="auto" w:line="288" w:before="0" w:after="180"/>
        <w:jc w:val="left"/>
        <w:rPr/>
      </w:pPr>
      <w:hyperlink w:anchor="i8e13d1b6f3764394b0e424082d2ac79f_7">
        <w:r>
          <w:rPr>
            <w:rStyle w:val="InternetLink"/>
            <w:rFonts w:ascii="Times New Roman;serif" w:hAnsi="Times New Roman;serif"/>
            <w:b w:val="false"/>
            <w:color w:val="000080"/>
            <w:sz w:val="20"/>
            <w:u w:val="single"/>
          </w:rPr>
          <w:t>Table of Content</w:t>
        </w:r>
      </w:hyperlink>
      <w:hyperlink w:anchor="i8e13d1b6f3764394b0e424082d2ac79f_7">
        <w:r>
          <w:rPr>
            <w:rStyle w:val="InternetLink"/>
            <w:rFonts w:ascii="Times New Roman;serif" w:hAnsi="Times New Roman;serif"/>
            <w:b w:val="false"/>
            <w:color w:val="000080"/>
            <w:sz w:val="20"/>
            <w:u w:val="single"/>
          </w:rPr>
          <w:t>s</w:t>
        </w:r>
      </w:hyperlink>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regulations promulgated by the Office of Foreign Assets Control (the “OFAC”) under the U.S. Department of the U.S. Treasury related to the administration and enforcement of sanctions against foreign jurisdictions and persons that threaten U.S. foreign policy and national security goals, primarily to prevent targeted jurisdictions and persons from accessing the U.S. financial system;</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federal, state, and self-regulatory organization securities rules and laws, including, among others, the Securities Act, the Exchange Act, the Advisers Act, and the Investment Company Act of 1940, as amended (the “Investment Company Act”), the rules and regulations adopted under those laws, including those adopted by FINRA, and similar state laws and regulations, which govern how we offer, sell, and transact in our loan financing products;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other federal, state and local laws and regulations covering areas similar to the laws and regulations discussed above, including many state and local laws and regulations that cover similar areas as the federal laws discussed above;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other laws and regulatory regimes described in the section titled “Business—Government Regulation.”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addition, various federal, state, and local laws have been enacted to discourage predatory lending practices. The federal Home Ownership and Equity Protection Act (“HOEPA”) amends TILA to prohibit certain provisions in mortgage loans with rates or origination costs exceeding prescribed levels, and requires certain disclosures prior to origination. Some states have enacted similar laws or regulations, which in some cases impose restrictions and requirements greater than those in HOEPA. Failure to comply with these laws, to the extent applicable to any of the HELOCs, could subject us to monetary penalties and could result in the voiding or rescission of the affected HELOCs.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may not always have been, and may not always be, in compliance with these and other applicable laws, regulations, and rules. Compliance with these requirements is costly, time consuming and limits our operational flexibility. Additionally, the U.S. Congress, states, regulatory agencies, and local municipalities, could further regulate the consumer financial services industry (and other financial services, including services provided to small businesses) in ways that make it more difficult or costly for us to offer our platform and related services or facilitate the origination of loans for our partners. The laws and regulations applicable to our activities are often subject to changes that could severely limit the operations of our business model. Further, changes in the regulatory application or judicial interpretation of the laws and regulations applicable to financial institutions or financial services providers could impact the manner in which we conduct our business. The regulatory environment in which financial institutions and financial services providers operate has become increasingly complex, and following the financial crisis that began in 2008, supervisory efforts to apply relevant laws, regulations, and policies have become more intense. Additionally, states are increasingly introducing and, in some cases, passing laws that restrict interest rates and annual percentage rates (the “APR”) on loans similar to those made on our platform. For example, in late 2020, California created a “mini-CFPB,” which could increase its oversight over consumer financial services providers and strengthen the consumer protection authority of state regulators to enforce laws related to debt collection and unfair, deceptive, or abusive acts and practices. Voter referendums on restrictions on interest rates and/or APRs also have been introduced and, in some cases, passed. If such legislation or bills were to be propagated, or state or federal regulators seek to restrict regulated financial institutions such as our partners from engaging in business with us in certain ways, our partners’ ability to originate loans in certain states could be greatly reduced, and as a result, our business, financial condition, and results of operations could be adversely affected.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Where applicable, we seek to comply with state mortgage originator, loan broker, credit service organization, small loan, finance lender, servicing, collection, money transmission, money services, virtual currency, and similar laws and regulations. Nevertheless, if we are found not to comply with applicable laws, we could lose one or more of our licenses or authorizations, become subject to greater scrutiny by state regulatory agencies, face other sanctions or be required to obtain a license, which may adversely affect our ability to continue to facilitate loans, perform our servicing obligations, or make our platform available to customers in particular states, potentially harming our business. Further, failure to comply with the laws and regulatory requirements applicable to our business and operations may, among other things, limit our ability to collect all or part of the principal of or interest on loans originated by us or our partners using our platform that we purchase, and may limit our ability to foreclose on properties securing such loans or otherwise limit our recovery. In addition, non-compliance could subject us to, for example, loan repurchase obligations, rescission rights held either by customers or by investors in securities offerings, litigation (including class action lawsuits, civil and criminal liability, and damages), and investigation, enforcement and other regulatory and legal action and penalties, such as revocation of required licenses, administrative enforcement actions, and regulatory sanctions, all of which could adversely affect our business, financial condition, and results of operations.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generally represent to our partners that our platform for these purposes, including documents, calculations, and disclosures generated therein, and our partners’ use of the platform, complies with applicable law and regulations, including, but not limited to, TILA, RESPA, and the regulations promulgated thereunder. However, these laws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67"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lineRule="auto" w:line="288" w:before="0" w:after="180"/>
        <w:jc w:val="left"/>
        <w:rPr/>
      </w:pPr>
      <w:hyperlink w:anchor="i8e13d1b6f3764394b0e424082d2ac79f_7">
        <w:r>
          <w:rPr>
            <w:rStyle w:val="InternetLink"/>
            <w:rFonts w:ascii="Times New Roman;serif" w:hAnsi="Times New Roman;serif"/>
            <w:b w:val="false"/>
            <w:color w:val="000080"/>
            <w:sz w:val="20"/>
            <w:u w:val="single"/>
          </w:rPr>
          <w:t>Table of Content</w:t>
        </w:r>
      </w:hyperlink>
      <w:hyperlink w:anchor="i8e13d1b6f3764394b0e424082d2ac79f_7">
        <w:r>
          <w:rPr>
            <w:rStyle w:val="InternetLink"/>
            <w:rFonts w:ascii="Times New Roman;serif" w:hAnsi="Times New Roman;serif"/>
            <w:b w:val="false"/>
            <w:color w:val="000080"/>
            <w:sz w:val="20"/>
            <w:u w:val="single"/>
          </w:rPr>
          <w: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regulations are subject to interpretation by various regulators and courts and interpretations may change or evolve over time. If a regulator or court determines that some significant aspect of our platform does not comply with applicable law, our partners may cease use of our platform, which would adversely affect our business. For example, if a regulator determines that compensation paid to a wholesale broker that brokers loans to us via our Partner-branded solutions is not reasonably related to the value of the goods or services actually provided by the wholesale broker, as required by RESPA, or if a court determines that a loan sale by a partner to us is not a bona fide secondary market transaction under RESPA, partners may perceive use of our platform as noncompliant with applicable law and discontinue such use, or we could be required to cease offering or change the nature of our Partner-branded offerings. We charge partners an implementation fee, which we may delay charging or which we may waive if the partner originates a minimum number of loans through our platform. If a court or regulator determines that waiving or delaying charging the implementation fee does not represent the fair market value of using the platform, as required by RESPA, we could be required to cease offering or change the nature of our Partner-branded offerings. Further, we could be required to repurchase non-compliant loans or indemnify partners for losses related to regulatory compliance, or be required to pay regulatory fines or be subject to litigation (including damages), investigation, enforcement and other regulatory and legal action and penalties, all of which could adversely affect our business, financial condition, and results of operations.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SEC oversees the activities of Figure Investment Advisors, LLC (“FIA”), as a registered investment adviser under the Advisers Act, and FCC, as a registered investment company under the Investment Company Act. FCC received an exemptive order from the SEC pursuant to Section 28(c) of the Investment Company Act that allows FCC to custody reserves maintained with respect to the face-amount certificates that FCC issues with one or more banks as defined in Section 2(a)(5) of the Investment Company Act, subject to various conditions, including among others that any such custodian will maintain such reserves in compliance with Section 17(f) of the Investment Company Act and is authorized to cure any default by FCC with respect to the face-amount certificates by liquidating all or a portion of such reserves. In addition, private funds managed by FIA rely on one or more exemptions from registration under the Investment Company Act and are subject to various requirements under such exemptions. Failure to comply with the SEC’s exemptive order or the Investment Company Act could expose FCC, any other fund managed by FIA and/or FIA to various legal and regulatory consequences, including investigations, fines or other regulatory sanctions, any of which could have a material adverse effect on our business and harm our reputation. In particular, non-compliance with the conditions of the SEC’s exemptive order could negate the ability of FCC to continue to rely thereon, rendering FCC to be out of compliance with Section 28(c) of the Investment Company Act, which could materially limit or effectively terminate FCC’s ability to conduct its business operations. Furthermore, non-compliance with the SEC’s exemptive order could result in the SEC bringing an enforcement action against FCC or FIA and/or expose FCC or FIA to claims, proceedings or actions for failure to comply with applicable federal securities laws.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Moreover, each of the regulatory bodies with jurisdiction over us has regulatory powers dealing with many aspects of financial services, including the authority to grant, and in specific circumstances to cancel or restrict, permissions to carry on particular activities. A failure to comply with the obligations imposed by the Advisers Act could result in investigations, sanctions, restrictions on our activities or the activities of our personnel and in reputational damage. We are involved regularly in trading activities that implicate a broad number of U.S. and foreign securities and tax law regimes, including laws governing trading on inside information, market manipulation and a broad number of technical trading requirements that implicate fundamental market regulation policies. Violation of these laws could result in severe restrictions on our activities and damage to our reputation and as a result, impact our funds and our funds’ investments. There can be no assurance that any form of regulation or market constraints would prevent certain other market actors from engaging in fraud, market manipulation, market abuse or improper influence in the future. In these situations, any such fraud, market manipulation, market abuse or improper influence by such market actors could have a material adverse effect on our funds and their investments. Moreover, there can be no assurance that any redress would be available to, or would be practical for, the funds to pursue with respect to any such fraud, market manipulation, market abuse or improper influence.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Compliance with existing and new regulations subjects us to significant costs, and our failure to comply with applicable laws or regulations, including labor and employment laws, could result in fines, censure, suspensions of personnel or other sanctions, including revocation of the registration of our relevant subsidiaries under applicable regulatory regimes. Most of the regulations to which our businesses are subject are designed primarily to protect investors in our funds and their investments and to ensure the integrity of the financial markets. They are not designed to protect our stockholders. If a sanction is imposed against us, one of our subsidiaries or our personnel by a regulator, even for a small monetary amount, the costs incurred in responding to such matters could be material, and adverse publicity related to the sanction could harm our reputation, which in turn could have a material adverse effect on our businesses in a number of ways and which could make it harder for us to raise new funds and could discourage others from doing business with us.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68"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lineRule="auto" w:line="288" w:before="0" w:after="180"/>
        <w:jc w:val="left"/>
        <w:rPr/>
      </w:pPr>
      <w:hyperlink w:anchor="i8e13d1b6f3764394b0e424082d2ac79f_7">
        <w:r>
          <w:rPr>
            <w:rStyle w:val="InternetLink"/>
            <w:rFonts w:ascii="Times New Roman;serif" w:hAnsi="Times New Roman;serif"/>
            <w:b w:val="false"/>
            <w:color w:val="000080"/>
            <w:sz w:val="20"/>
            <w:u w:val="single"/>
          </w:rPr>
          <w:t>Table of Content</w:t>
        </w:r>
      </w:hyperlink>
      <w:hyperlink w:anchor="i8e13d1b6f3764394b0e424082d2ac79f_7">
        <w:r>
          <w:rPr>
            <w:rStyle w:val="InternetLink"/>
            <w:rFonts w:ascii="Times New Roman;serif" w:hAnsi="Times New Roman;serif"/>
            <w:b w:val="false"/>
            <w:color w:val="000080"/>
            <w:sz w:val="20"/>
            <w:u w:val="single"/>
          </w:rPr>
          <w:t>s</w:t>
        </w:r>
      </w:hyperlink>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marketing practices involving relationships with third parties may expose us to risks of alleged RESPA violations.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Because our business relies on strategic relationships with third parties, it is particularly important that we comply with RESPA. RESPA prohibits the giving or accepting of any “thing of value” in exchange for referrals of settlement service business related to federally related mortgage loans. Historically, the CFPB has interpreted “thing of value” broadly, including payments, commissions, gifts, and other benefits, though the current administration has issued no RESPA interpretations or guidance to date.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marketing practices involving relationships with third parties have the potential to expose us to risks of non-compliance with RESPA and its implementing Regulation X, which could result in significant legal and financial consequences. For example, placing signage or advertising in third parties’ retail locations, or having e-mails sent to third parties’ customers, to promote our HELOC offerings, depending on the circumstances, could generate scrutiny. A regulator or private litigant potentially could assert that these activities involve the third parties referring settlement service business (HELOC business) to us and, if referrals are determined to exist and we are determined to pay any “thing of value” in exchange for such referrals, a RESPA violation could be found. Failure to comply with RESPA could result in substantial penalties, including fines and reputational damage, which could adversely affect our business, financial condition, and results of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acceptance of various payment methods exposes us to evolving rules, regulations, and compliance requirements. Non-compliance may adversely affect our business, financial condition and results of operations.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accept payments using a variety of methods, including debit cards, ACH, wires, PayPal, Apple Pay, Google Pay, Cubix, Plaid Direct Payments, bank transfers, and FAST transfers. Acceptance of these payment options subjects us to rules, regulations, contractual obligations, and compliance requirements, including payment card association operating rules, certification requirements and operations guidelines, data security standards, and rules governing electronic funds transfers. These requirements may change over time or be reinterpreted, making compliance more difficult or costly. Although no system can completely prevent theft, we have security countermeasures in place to reduce the potential for fraud and theft by criminals. If we fail to comply with applicable rules and regulations, we may be subject to fines or higher transaction fees and may lose our ability to accept online payments or other payment card transactions. If any of these events were to occur, our business, financial condition, and results of operations could be adversely affected.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failure to comply with financial services regulatory obligations could damage our reputation, result in regulatory action against us, and adversely affect our business.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securities industry is heavily regulated. Our subsidiary FIA is registered with the SEC as an investment adviser and is subject to the requirements and regulations of the Advisers Act. FIA in turn manages FCC, which is registered as an investment company under the Investment Company Act. Our subsidiary Figure Securities is registered with the SEC and 53 U.S. states and jurisdictions as a broker-dealer, is a member of FINRA and operates an ATS under the brand “Figure ATS,” which is subject to the requirements and regulations of the Exchange Act and FINRA rules. Our subsidiary Figure Equity Solutions, Inc. is registered with the SEC as a transfer agent and is subject to the requirements and regulations of the Exchange Act. The regulations to which broker-dealers, ATSs, transfer agents, and registered investment advisers are subject are extensive and evolving over time and subject us to periodic examination by such regulators. The level of financial regulation by the SEC, FINRA, and state securities commissions has generally increased in recent years. In light of this, we expect increased compliance costs and to be subject to additional potential liabilities. Failure to comply with the obligations imposed by the Advisers Act, Investment Company Act, Exchange Act, FINRA, or state rules, including recordkeeping, advertising and operating requirements, disclosure obligations and prohibitions on fraudulent activities, could result in examinations, investigations, sanctions, and reputational damage, and could have a material adverse effect on our business, financial condition, and results of operations. Our ability to comply with all applicable laws and rules is largely dependent on our internal systems to ensure compliance, as well as our ability to attract and retain qualified compliance personnel. Further, each of the regulatory bodies with jurisdiction over us has regulatory powers dealing with many aspects of the services we provide, including the authority to grant, and in specific circumstances to cancel or restrict, permissions to carry on such activities. The termination or material limitation of any such permit would likely have a material adverse effect on our ability to carry out our business operations. In addition, some of the restrictions and rules applicable to our subsidiaries could adversely affect and limit some of our business plans of other parts of our business.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many other aspects of our businesses involve financial services that are heavily regulated. Among other entities in our structure, our subsidiary Figure Payments Corporation (which offers a stored value product and facilitates transactions involving digital assets) is a registered money services business at the federal level and licensed money transmitter and virtual currency business in various states and other jurisdictions, our subsidiary Figure Lending LLC (“FL LLC”) is licensed to engage in lending (including mortgages and personal loans), servicing, brokering, debt collection,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69"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lineRule="auto" w:line="288" w:before="0" w:after="180"/>
        <w:jc w:val="left"/>
        <w:rPr/>
      </w:pPr>
      <w:hyperlink w:anchor="i8e13d1b6f3764394b0e424082d2ac79f_7">
        <w:r>
          <w:rPr>
            <w:rStyle w:val="InternetLink"/>
            <w:rFonts w:ascii="Times New Roman;serif" w:hAnsi="Times New Roman;serif"/>
            <w:b w:val="false"/>
            <w:color w:val="000080"/>
            <w:sz w:val="20"/>
            <w:u w:val="single"/>
          </w:rPr>
          <w:t>Table of Content</w:t>
        </w:r>
      </w:hyperlink>
      <w:hyperlink w:anchor="i8e13d1b6f3764394b0e424082d2ac79f_7">
        <w:r>
          <w:rPr>
            <w:rStyle w:val="InternetLink"/>
            <w:rFonts w:ascii="Times New Roman;serif" w:hAnsi="Times New Roman;serif"/>
            <w:b w:val="false"/>
            <w:color w:val="000080"/>
            <w:sz w:val="20"/>
            <w:u w:val="single"/>
          </w:rPr>
          <w: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other related activities in various states and other jurisdictions, our subsidiary Figure Markets Credit LLC (which offers digital asset-backed personal loans and facilitates digital asset trading) is licensed to engage in lending and other related activities in various states and other jurisdictions, and each is subject to significant regulatory and legal requirements in connection therewith. These requirements include, among others, compliance with anti-money laundering laws, consumer protection laws, and data privacy regulations. As such, we expect increased compliance costs and to be subject to additional potential liabilities. Failure to comply with the obligations imposed by the foregoing regulatory regimes, including licensing, recordkeeping, advertising, disclosure, and operating requirements (including interest and fee limitations), could result in examinations, investigations, litigation, enforcement actions, sanctions, and reputational damage, and could have a material adverse effect on our business, financial condition, and results of operations. The legal and regulatory landscape for our products is particularly complex, and our ability to comply with all applicable laws and rules is largely dependent on our internal systems to ensure compliance, as well as our ability to attract and retain qualified compliance personnel with specialized knowledge. Furthermore, evolving regulations and increased scrutiny from regulators may require us to adapt our practices continuously. In addition, some of the restrictions and rules applicable to our subsidiaries could adversely affect and limit some of our business plans of other parts of our business.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If we were deemed to be an “investment company” under the Investment Company Act, applicable restrictions could make it impractical for us to continue our businesses as contemplated and could have a material adverse effect on our businesses.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An issuer will generally be deemed to be an “investment company” for purposes of the Investment Company Act if, absent an applicable exception or exemption: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it is or holds itself out as being engaged primarily, or proposes to engage primarily, in the business of investing, reinvesting or trading in securities;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it is engaged or proposes to engage in the business of issuing face-amount certificates of the installment type, or has been engaged in such business and has any such certificate outstanding; or</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it owns or proposes to acquire investment securities having a value exceeding 40% of the value of its total assets (exclusive of U.S. government securities and cash items) on an unconsolidated basis.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believe that we are engaged primarily in the business of building and operating a technology platform that applies blockchain technology to support vertically-integrated marketplaces across the consumer credit and cryptocurrency and digital asset markets and not primarily in the business of investing, reinvesting or trading in securities. We hold ourselves out as a firm that is building and operating a technology platform that applies blockchain technology to support vertically-integrated marketplaces across the consumer credit and cryptocurrency and digital asset markets and do not propose to engage primarily in the business of investing, reinvesting or trading in securities. Accordingly, we do not believe that we are an “orthodox” investment company as defined in Section 3(a)(1)(A) of the Investment Company Act and described in the first bullet point above. Further, although our managed investment company, FCC, engages in the business of issuing face-amount certificates of the installment type, we do not ourselves engage in such activities or have any such certificates outstanding. However, our subsidiaries could acquire a significant number of investment securities, and we expect to make investments in other investment securities from time to time. We monitor these holdings regularly to confirm our continued compliance with the 40% test described in the third bullet point above. The need to comply with this 40% test may cause us to (i) restrict our business and subsidiaries with respect to the assets in which we can invest and/or the types of securities we may issue, (ii) sell investment securities, including on unfavorable terms, (iii) acquire assets or businesses that could change the nature of our business, or (iv) potentially take other actions that may be viewed as adverse by the holders of our common stock, in order to ensure conformity with exceptions provided by, and rules and regulations promulgated under, the Investment Company Act.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own, indirectly through wholly-owned subsidiaries, general partner or similar interests (collectively, “general partner interests”) in our funds which entitle us to receive performance fees in the form of incentive allocations. In addition, FIA is entitled to receive management fees pursuant to investment management agreements with our funds. We believe that these general partner interests and investment management agreement receivables are neither securities nor investment securities. Accordingly, we do not believe that we are an inadvertent investment company by virtue of the 40% test in Section 3(a)(1)(C) of the Investment Company Act as described in the third bullet point above. In addition, we believe we are not an investment company under Section 3(b)(1) of the Investment Company Act because we are primarily engaged in a non-investment company business.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Investment Company Act and the rules thereunder contain detailed parameters for the organization and operation of investment companies. Among other things, the Investment Company Act and the rules thereunder limit or prohibit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0"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lineRule="auto" w:line="288" w:before="0" w:after="180"/>
        <w:jc w:val="left"/>
        <w:rPr/>
      </w:pPr>
      <w:hyperlink w:anchor="i8e13d1b6f3764394b0e424082d2ac79f_7">
        <w:r>
          <w:rPr>
            <w:rStyle w:val="InternetLink"/>
            <w:rFonts w:ascii="Times New Roman;serif" w:hAnsi="Times New Roman;serif"/>
            <w:b w:val="false"/>
            <w:color w:val="000080"/>
            <w:sz w:val="20"/>
            <w:u w:val="single"/>
          </w:rPr>
          <w:t>Table of Content</w:t>
        </w:r>
      </w:hyperlink>
      <w:hyperlink w:anchor="i8e13d1b6f3764394b0e424082d2ac79f_7">
        <w:r>
          <w:rPr>
            <w:rStyle w:val="InternetLink"/>
            <w:rFonts w:ascii="Times New Roman;serif" w:hAnsi="Times New Roman;serif"/>
            <w:b w:val="false"/>
            <w:color w:val="000080"/>
            <w:sz w:val="20"/>
            <w:u w:val="single"/>
          </w:rPr>
          <w: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transactions with affiliates, impose limitations on the issuance of debt and equity securities, generally prohibit the issuance of options and impose certain governance requirements. We intend to conduct our operations so that we will not be deemed to be an investment company under the Investment Company Act. If anything were to happen that would cause us to be deemed to be an investment company under the Investment Company Act, requirements imposed by the Investment Company Act, including limitations on capital structure, the ability to transact business with affiliates and the ability to compensate senior employees, could make it impractical for us to continue our businesses as currently conducted, impair the agreements and arrangements between and among us, our affiliates and subsidiaries, our funds and our senior managers, or any combination thereof, and have a material adverse effect on our businesses, financial condition and results of operations. In addition, we may be required to limit the amount of investments that we make as a principal, potentially divest of our investments or otherwise conduct our businesses in a manner that does not subject us to the registration and other requirements of the Investment Company Act.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business model and structure give rise to certain conflicts of interest, which if not appropriately addressed, could result in violations of fiduciary duties to our clients.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have adopted policies, processes and practices reasonably designed to address and manage conflicts of interest relating to the operation of our business, such as our compliance manual and code of ethics that we have adopted pursuant to the Advisers Act, which include our policies and guidelines relating to allocation of investments and expenses. Many of our policies and guidelines are set forth and/or summarized in our Form ADV, which is available to our investors. If we determine in good faith judgment that a matter constitutes an actual conflict of interest, these policies, practices and processes guide us to take such actions as we determine in good faith may be necessary or appropriate to ameliorate the conflict. These procedures may include, by way of example: obtaining written client consent for effecting principal transactions, specific procedures for handling cross transactions among advisory clients, including disclosures required to be made to such clients, and procedures for handling conflicts of interest arising in connection with proxy voting. Furthermore, the Investment Company Act, and the rules thereunder and the interpretations of such provisions, by the SEC and its staff place significant limitations on joint transactions between a registered investment company and certain affiliates of the adviser. FIA and FCC have adopted policies and procedures to address such conflicts of interest.</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The digital asset economy is novel. As a result, policymakers are just beginning to consider what a regulatory regime for digital assets would look like and the elements that would serve as the foundation for such a regime. This less developed consideration of digital assets may harm our ability to effectively react to proposed legislation and regulation of digital assets or digital asset platforms adverse to our business.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digital assets have grown in both popularity and market size, various U.S. federal, state, and local and foreign governmental organizations, consumer agencies, and public advocacy groups have been examining the operations of digital asset networks, users, and platforms, with a focus on how digital assets can be used to launder the proceeds of illegal activities, fund criminal or terrorist enterprises, and the safety and soundness of platforms and other service providers that hold digital assets for users. Many of these entities have called for heightened regulatory oversight and have issued consumer advisories describing the risks posed by digital assets to users and investors. For instance, in September 2022, the White House published a fact sheet described as the first-ever “Comprehensive Framework for Responsible Development of Digital Assets,” which encouraged “agencies to issue guidance and rules to address current and emergent risks in the digital asset ecosystem.”</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More recently, in January 2025, President Trump issued an executive order on “Strengthening American Leadership in Digital Financial Technology.” Among other things, this executive order establishes a President’s Working Group on Digital Asset Markets, which is required to propose a federal regulatory framework governing the issuance and operation of digital assets in the United States. In addition, there are various legislative proposals under consideration by the U.S. Congress, including digital asset market structure bills and bills with respect to stablecoin issuance. For example, the GENIUS Act was signed into law in July 2025. At this time, YLDS is not subject to the GENIUS Act, but stablecoins that will be subject to the GENIUS Act may in the future trade on the Figure Exchange. We cannot predict whether or in what form such legislative or regulatory proposals will be enacted, nor can we fully assess or predict in advance the ultimate impact of any proposed legislation, implementing regulations, or regulatory actions on our business,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1"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lineRule="auto" w:line="288" w:before="0" w:after="180"/>
        <w:jc w:val="left"/>
        <w:rPr/>
      </w:pPr>
      <w:hyperlink w:anchor="i8e13d1b6f3764394b0e424082d2ac79f_7">
        <w:r>
          <w:rPr>
            <w:rStyle w:val="InternetLink"/>
            <w:rFonts w:ascii="Times New Roman;serif" w:hAnsi="Times New Roman;serif"/>
            <w:b w:val="false"/>
            <w:color w:val="000080"/>
            <w:sz w:val="20"/>
            <w:u w:val="single"/>
          </w:rPr>
          <w:t>Table of Content</w:t>
        </w:r>
      </w:hyperlink>
      <w:hyperlink w:anchor="i8e13d1b6f3764394b0e424082d2ac79f_7">
        <w:r>
          <w:rPr>
            <w:rStyle w:val="InternetLink"/>
            <w:rFonts w:ascii="Times New Roman;serif" w:hAnsi="Times New Roman;serif"/>
            <w:b w:val="false"/>
            <w:color w:val="000080"/>
            <w:sz w:val="20"/>
            <w:u w:val="single"/>
          </w:rPr>
          <w: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Competitors, including traditional financial services industry members, have spent years cultivating professional relationships with relevant policymakers on behalf of their industry so that those policymakers may understand that industry, the current legal landscape affecting that industry, and the specific policy proposals that could be implemented in order to responsibly develop that industry. The lobbyists working for these competitors have similarly spent years developing and working to implement strategies to advance these industries. Members of the digital asset economy have started to engage policymakers directly and with the help of external advisors and lobbyists. However, new laws and regulations may be proposed and adopted in the United States and internationally, or existing laws and regulations may be interpreted in new ways, that harm the digital asset economy or digital asset platforms, which could adversely impact our business.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failure to comply with trade compliance and economic sanctions laws and regulations of the United States and applicable international jurisdictions could materially adversely affect our reputation and results of operations.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business must be conducted in compliance with applicable economic and trade sanctions laws and regulations, such as those administered and enforced by the U.S. Department of Treasury’s Office of Foreign Assets Control, the U.S. Department of State, the U.S. Department of Commerce, the United Nations Security Council and other relevant sanctions authorities. Our global operations expose us to the risk of violating, or being accused of violating, economic and trade sanctions laws and regulations. Our failure to comply with these laws and regulations may expose us to reputational harm as well as significant penalties, including criminal fines, imprisonment, civil fines, disgorgement of profits, injunctions and debarment from government contracts, as well as other remedial measures. Investigations of alleged violations can be expensive and disruptive. Despite our compliance efforts and activities, we cannot assure compliance by our employees or representatives for which we may be held responsible, and any such violation could materially adversely affect our reputation, business, financial condition, and results of operations. Our interactions with the digital assets and the blockchain may expose us to entities on OFAC’s Specially Designated Nationals and Blocked Persons (“SDN”) list. However, because of the pseudonymous nature of blockchain transactions, we may inadvertently and without our knowledge engage in transactions with persons named on OFAC’s SDN list. We also may not be adequately capable of determining the ultimate identity of the persons with whom we transact.</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If we do not obtain and maintain the appropriate state licenses, we will not be allowed to produce or service loans or provide other services in some states, which could materially and adversely affect our business, financial condition, results of operations, and prospects.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operations are subject to regulation, supervision and licensing under various U.S. federal, state and local statutes, ordinances and regulations. In most states in which we operate, a regulatory agency regulates and enforces laws relating to companies, such as us, engaged in loan origination and servicing, money transmission, virtual currency activities, and other related activities. These rules and regulations, which vary from state-to-state, generally provide for entity-level licensing, including as a mortgage or consumer lender, loan or mortgage broker, loan or mortgage servicer, debt collector or collection agency, third-party default specialist, money transmitter, or virtual currency business, as applicable, as well as licensure for certain individuals involved in the foregoing businesses. They also may include requirements as to the form and content of contracts and other documentation, team member hiring and background checks requirements, restrictions on origination, brokering and collection practices, limitations on fees and charges, disclosure and record-keeping requirements, and requirements related to protection of borrowers’ or customers’ rights. The existing regulations to which we are subject may be challenging and costly to comply with, and future legislation and changes in existing regulation may significantly increase our compliance costs or reduce the amount of fees we may charge. The rapidly evolving legal and regulatory environment for digital assets poses additional challenges, as new legislation and regulations or changes in enforcement priorities could impact our operations and business model. Our failure to obtain and maintain required regulatory licenses and our failure to comply with such licenses and related regulations could materially and adversely affect our business. Changes in law or regulatory or enforcement frameworks could make our business cost-prohibitive in the affected state or states and could materially and adversely affect our business.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must comply with requirements to report to the state regulators certain changes to our business; for instance, the maintenance of certain state licenses requires the submission of information regarding and the approval of control persons of the licensed entity which, depending on applicable state law, may include, for example, persons with a direct or indirect ownership interest of 10% or more of the outstanding interests or voting power of our Company or a particular entity within our structure. A failure to provide timely notice of, and obtain prior approval for, certain business changes (such as changes in control) can raise significant risks in certain states, such as suspension or revocation of licenses in such states, prevention from engaging in the applicable regulated activity covered by such licenses (including, for example, originating and servicing loans) in such states, imposition of administrative fines, penalties, or enforcement actions or civil and/or criminal penalties, and negative impact to our operations and growth prospects. Any of the foregoing consequences could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2"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lineRule="auto" w:line="288" w:before="0" w:after="180"/>
        <w:jc w:val="left"/>
        <w:rPr/>
      </w:pPr>
      <w:hyperlink w:anchor="i8e13d1b6f3764394b0e424082d2ac79f_7">
        <w:r>
          <w:rPr>
            <w:rStyle w:val="InternetLink"/>
            <w:rFonts w:ascii="Times New Roman;serif" w:hAnsi="Times New Roman;serif"/>
            <w:b w:val="false"/>
            <w:color w:val="000080"/>
            <w:sz w:val="20"/>
            <w:u w:val="single"/>
          </w:rPr>
          <w:t>Table of Content</w:t>
        </w:r>
      </w:hyperlink>
      <w:hyperlink w:anchor="i8e13d1b6f3764394b0e424082d2ac79f_7">
        <w:r>
          <w:rPr>
            <w:rStyle w:val="InternetLink"/>
            <w:rFonts w:ascii="Times New Roman;serif" w:hAnsi="Times New Roman;serif"/>
            <w:b w:val="false"/>
            <w:color w:val="000080"/>
            <w:sz w:val="20"/>
            <w:u w:val="single"/>
          </w:rPr>
          <w: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adversely impact our business in such state, be reportable to other regulatory authorities or contract counterparties, and negatively impact our business, relationship, eligibility, or standing with such other regulatory authorities or counterparties. While we endeavor at all times to maintain all licenses and registrations applicable to the activities in which we engage, there is a risk that the state licensing agencies may require advance notifications or approvals for business changes that we cannot provide or satisfy, or that they may interpret the licensing requirements in a manner that differs from the published statutes, regulations, or guidance or our interpretation of such.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If we enter new markets or engage in new business activities, we may be required to comply with new laws, regulations and licensing requirements. As part of licensing requirements, we are typically required to designate individual licensees of record. We cannot ensure that we are, and will always remain, in full compliance with all relevant licensing laws and regulations, including because interpretation of those laws and regulations may change over time, and we may be subject to fines or penalties, including license suspension or revocation, for any non-compliance. If in the future a state agency were to determine that we are required to obtain additional licenses in that state in order to transact business, or if we lose an existing license or are otherwise found to be in violation of a law or regulation, our business operations in that state may be suspended, enjoined, or restricted until we obtain the license or otherwise remedy the compliance issue. Such findings also could subject us to reputational risks.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hold state licenses that result in substantial costs, including licensing fees and compliance costs, and our business, financial condition, and results of operations would be adversely affected if our licenses were impaired as a result of noncompliance with those requirements.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currently hold state licenses in connection with our lending and servicing, money transmission, virtual currency, and other related activities. For as long as we engage in such regulated activities, we must comply with certain state licensing requirements, pay applicable licensing fees, and comply with varying compliance obligations that may be applicable in all the states and territories in which we operate, as well as the District of Columbia. Changes in licensing laws may result in increased disclosure requirements, higher fees, or the imposition of other conditions to licensing that we may be unable to meet. In most, if not all, of the states in which we operate, regulatory agencies regulate and enforce laws relating to loan originators, brokers, servicers, collection agencies, money transmitters, virtual currency businesses, and similar financial services activities. We are subject to periodic examinations by state and other regulators in the jurisdictions in which we conduct business, which can result in increased administrative costs, obligations to issue refunds to customers for certain fees collected by us, substantial penalties due to compliance errors, revocations of licenses, or other impairments in our ability to do business. Fines and penalties incurred in one jurisdiction may trigger investigations or other actions by regulators in other jurisdictions.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As a result of the Recombination, we re-applied for our licenses that are required to engage in lending and servicing, money transmission, virtual currency, and other related activities, and have obtained all such approvals. If we change or expand our business activities, we may be required to obtain additional licenses before engaging in those activities. If we apply for a new license, a regulator may impose penalties or refuse to issue the license, which could require us to modify or limit our activities in the relevant state. In addition, obtaining the required new license will subject us to additional licensing fees, which may be substantial.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States may also expand or otherwise modify their current laws or regulations, and we may not be able to comply with such updated laws or regulations or maintain all requisite licenses and permits in such states or our costs of compliance with and maintenance of such licenses or permits may materially increase.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states that currently do not extensively regulate our business may later choose to do so in the future and, if such states so act, we may not be able to obtain or maintain all requisite licenses and permits, which could require us to modify or limit our activities in the relevant state or states.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Failure to satisfy these and other regulatory requirements could result in a default under our warehouse credit facilities, other financial arrangements and/or servicing agreements and, thereby, adversely affect our business, financial condition, and results of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Litigation, regulatory actions, and compliance issues could subject us to significant fines, penalties, judgments, remediation costs, negative publicity, changes to our business model, and requirements resulting in increased expenses.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business is subject to increased risks of litigation and regulatory actions due to several factors and from various sources, including the highly regulated nature of the financial services industry and the focus of state and federal enforcement agencies on this sector. The evolving regulatory landscape, with heightened scrutiny and enforcement, further exacerbates these risks.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3"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lineRule="auto" w:line="288" w:before="0" w:after="180"/>
        <w:jc w:val="left"/>
        <w:rPr/>
      </w:pPr>
      <w:hyperlink w:anchor="i8e13d1b6f3764394b0e424082d2ac79f_7">
        <w:r>
          <w:rPr>
            <w:rStyle w:val="InternetLink"/>
            <w:rFonts w:ascii="Times New Roman;serif" w:hAnsi="Times New Roman;serif"/>
            <w:b w:val="false"/>
            <w:color w:val="000080"/>
            <w:sz w:val="20"/>
            <w:u w:val="single"/>
          </w:rPr>
          <w:t>Table of Content</w:t>
        </w:r>
      </w:hyperlink>
      <w:hyperlink w:anchor="i8e13d1b6f3764394b0e424082d2ac79f_7">
        <w:r>
          <w:rPr>
            <w:rStyle w:val="InternetLink"/>
            <w:rFonts w:ascii="Times New Roman;serif" w:hAnsi="Times New Roman;serif"/>
            <w:b w:val="false"/>
            <w:color w:val="000080"/>
            <w:sz w:val="20"/>
            <w:u w:val="single"/>
          </w:rPr>
          <w: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From time to time, we are involved in, or the subject of, reviews, requests for information, investigations and proceedings (both formal and informal) by state and federal governmental agencies and other self-regulatory organizations, regarding our business activities and our qualifications to conduct our business in certain jurisdictions, which could subject us to significant fines, penalties, obligations to change our business practices and other requirements resulting in increased expenses and diminished earnings, in the event of negative findings arising from these reviews. Our involvement in any such matter also could cause significant harm to our reputation and divert management attention from the operation of our business, even if the matters are ultimately determined in our favor. Moreover, any settlement, or any consent order or adverse judgment in connection with any formal or informal proceeding or investigation by a government agency, may prompt litigation or additional investigations or proceedings as other litigants or other government agencies begin independent reviews of the same activities.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addition, a number of participants in the financial services industry have been the subject of: (i) putative class action lawsuits; (ii) state attorney general actions and other state regulatory actions; (iii) federal regulatory enforcement actions, including, among others, actions relating to alleged unfair, deceptive or abusive acts or practices; (iv) violations of state licensing, money transmission, and lending laws, including, for example, state laws limiting interest rates and fees; (v) actions alleging discrimination on the basis of race, ethnicity, gender or other prohibited bases; and (vi) allegations of noncompliance with various state and federal laws and regulations relating to originating and servicing mortgage and other consumer loans, money transmission, money services and virtual currency, and other similar financial services. In addition, as a financial services company, errors in performing settlement functions, including clerical, technological, and other errors related to the handling of funds could lead to censures, fines, or other sanctions imposed by applicable regulatory authorities as well as losses and liabilities in related lawsuits and proceedings brought by transaction counterparties and others.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regulatory environment, increased regulatory compliance efforts, and enhanced regulatory enforcement result in significant operational and compliance costs and may prevent us from providing certain products and services. There can be no assurance that these regulatory matters or other factors will not, in the future, affect how we conduct our business and, in turn, may have a material adverse effect on our business. In particular, legal proceedings brought under state consumer protection statutes or under federal consumer financial services statutes may result in a separate fine for each violation of the statute, which, particularly in the case of class action lawsuits, could result in damages substantially in excess of the amounts we earned from the underlying activities. Even if certain regulatory requirements are reduced or eliminated, there can be no assurance that the uncertainty created by such changes will not affect how we conduct our business and, in turn, have a material adverse effect on our business.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from time to time, through our operational and compliance controls, we identify compliance and other issues that require us to make operational changes and, depending on the nature of the issue, may result in financial remediation to impacted customers. These self-identified issues and voluntary remediation payments could be significant, depending on the issue and the number of customers impacted, and could generate litigation or regulatory investigations that subject us to additional risk.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compliance and risk management policies, procedures and techniques may not be sufficient to identify all of the financial, legal, regulatory, and other risks to which we are exposed, and failure to identify and address such risks could adversely affect our business, financial condition, and results of operations.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are exposed to a wide range of financial, legal, regulatory, and other risks, and our compliance and risk management policies, procedures, and techniques may be insufficient to identify and address all such risks. For example, the majority of our revenues are generated from the recognition of gain on sale from our HELOC product sold into the secondary market, which involves financial risk. If we are unable to effectively identify, manage, monitor, and mitigate financial risks, such as credit risk, interest rate risk, prepayment risk, liquidity risk, and other market-related risks, as well as, through our compliance management system, operational, legal, and regulatory risks related to our business, assets, and liabilities, we could incur substantial losses and our business operations could be materially disrupted. We are also subject to repurchase liabilities for loans sold into the secondary market to the extent the loans are non-compliant, which require us to remediate the loans once repurchased and incur additional costs through remediation. These repurchase liabilities can create more risk on our balance sheet and increase our exposure to losses.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4"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lineRule="auto" w:line="288" w:before="0" w:after="180"/>
        <w:jc w:val="left"/>
        <w:rPr/>
      </w:pPr>
      <w:hyperlink w:anchor="i8e13d1b6f3764394b0e424082d2ac79f_7">
        <w:r>
          <w:rPr>
            <w:rStyle w:val="InternetLink"/>
            <w:rFonts w:ascii="Times New Roman;serif" w:hAnsi="Times New Roman;serif"/>
            <w:b w:val="false"/>
            <w:color w:val="000080"/>
            <w:sz w:val="20"/>
            <w:u w:val="single"/>
          </w:rPr>
          <w:t>Table of Content</w:t>
        </w:r>
      </w:hyperlink>
      <w:hyperlink w:anchor="i8e13d1b6f3764394b0e424082d2ac79f_7">
        <w:r>
          <w:rPr>
            <w:rStyle w:val="InternetLink"/>
            <w:rFonts w:ascii="Times New Roman;serif" w:hAnsi="Times New Roman;serif"/>
            <w:b w:val="false"/>
            <w:color w:val="000080"/>
            <w:sz w:val="20"/>
            <w:u w:val="single"/>
          </w:rPr>
          <w: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also are subject to various laws, regulations, and rules that are not industry-specific, including employment laws, health and safety laws, environmental laws and other federal, state, and local laws, regulations, and rules in the jurisdictions in which we operate. Our risk management policies, procedures, and techniques may not be sufficient to identify all of the risks to which we are exposed, mitigate the risks we have identified or identify additional risks to which we may become subject in the future. Development of our business operations may also result in exposure to risks to which we have not previously been exposed or may increase our exposure to certain types of risks, and we may not effectively identify, manage, monitor, and mitigate these risks as our business activities change or increase.</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Changes in applicable laws and regulations, as well as changes in government enforcement policies and priorities, could materially increase our operating costs and negatively impact our ability to offer certain products or the terms and conditions upon which they are offered, and ability to compete, which could have a material adverse effect on our business, financial condition, and results of operations.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Financial services regulation is constantly evolving, and changes in laws, regulations, their interpretations and regulator’s enforcement priorities may have a materially adverse impact on our ability to operate as currently planned, and cause us to incur significant expense in order to ensure compliance. Federal and state financial services regulators actively enforce existing laws, regulations, and rules and are increasing their scrutiny of legal and regulatory compliance risk management. This dynamic regulatory environment complicates business planning and may require adjustments to our business model, potentially adversely impacting our business, financial condition, and results of operations.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Legislative proposals impacting financial services companies are frequently introduced in the U.S. Congress and state legislatures. Enactment of such proposals could substantially and unpredictably alter our operating environment. In addition, federal and state regulators have the authority to promulgate or change regulations with comparable effects. We cannot predict whether any such legislative or regulatory proposals will be enacted, nor can we fully assess the ultimate impact of any enacted legislation, implementing regulations, or regulatory actions on our business, financial condition, and results of operations.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In recent periods, there have been a number of enforcement actions within the financial services industry. In addition, the current U.S. administration has enacted, and is expected to continue seeking to enact, changes to numerous areas of law and regulations currently in effect. Any such changes could significantly impact our business. Specific legislative and regulatory proposals discussed during election campaigns and recent public statements that might have a material impact include, without limitation, changes to trade agreements, immigration policy, import and export regulations, tariffs and customs duties, energy regulations, income tax regulations and the federal tax code, public company reporting requirements, and antitrust enforcement. Changes in federal policy are subject to further uncertainty, as changes may be implemented at regulatory agencies over time through policy and personnel changes, which lead to changes involving the level of oversight and focus on the financial services industry or the tax rates paid by corporate entities. The nature, timing and economic effects of potential changes to the current legal and regulatory framework affecting financial institutions under the current presidential administration remain highly uncertain.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New laws, regulations, policy changes, shifts in enforcement priorities, or reassessments of existing practices applicable to our business could adversely impact our profitability, limit our ability to continue existing or pursuit of new business activities, necessitate changes to our business practices, affect retention of key personnel, or expose us to additional costs (including increased compliance costs and/or customer remediation expenses). Adapting to these changes may require us to invest significant resources and devote significant management attention to make any necessary changes, and could adversely affect our business, financial condition, and results of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The CFPB historically has been active in its monitoring of the loan production and servicing sectors. New or revised rules and regulations and more stringent enforcement of existing rules and regulations by the CFPB could result in increased compliance costs, enforcement actions, fines, penalties, and the inherent reputational harm that results from such actions. Additionally, a pause in CFPB rulemaking and enforcement activity also could result in uncertainty regarding the risk of certain business activities and the potential for future liability arising out of such activities, along with the potential for heightened state-level activity.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CFPB, which commenced operations in July 2011, has broad authority to create and modify regulations under certain enumerated federal consumer financial protection laws and regulations, such as the TILA and Regulation Z, the RESPA and Regulation X, the ECOA and Regulation B, the FCRA and Regulation V, the Electronic Funds Transfer Act and Regulation E, among other laws and regulations, and to enforce compliance with those laws. The CFPB supervises non-depository mortgage brokers, mortgage originators, and mortgage servicers, as well as banks, thrifts, and credit unions with assets over $10 billion, and it supervises and examines certain of our partners. Further, the CFPB is charged with the examination and supervision of certain participants in the consumer financial services market, including non-depository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75"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lineRule="auto" w:line="288" w:before="0" w:after="180"/>
        <w:jc w:val="left"/>
        <w:rPr/>
      </w:pPr>
      <w:hyperlink w:anchor="i8e13d1b6f3764394b0e424082d2ac79f_7">
        <w:r>
          <w:rPr>
            <w:rStyle w:val="InternetLink"/>
            <w:rFonts w:ascii="Times New Roman;serif" w:hAnsi="Times New Roman;serif"/>
            <w:b w:val="false"/>
            <w:color w:val="000080"/>
            <w:sz w:val="20"/>
            <w:u w:val="single"/>
          </w:rPr>
          <w:t>Table of Content</w:t>
        </w:r>
      </w:hyperlink>
      <w:hyperlink w:anchor="i8e13d1b6f3764394b0e424082d2ac79f_7">
        <w:r>
          <w:rPr>
            <w:rStyle w:val="InternetLink"/>
            <w:rFonts w:ascii="Times New Roman;serif" w:hAnsi="Times New Roman;serif"/>
            <w:b w:val="false"/>
            <w:color w:val="000080"/>
            <w:sz w:val="20"/>
            <w:u w:val="single"/>
          </w:rPr>
          <w: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mortgage originators and servicers, and larger participants in other areas of financial services. The fact that we are subject to the CFPB’s supervisory authority as a non-depository mortgage originator and servicer generally increases the level of regulatory scrutiny over our business practices. The CFPB is also authorized to prohibit unfair, deceptive, or abusive acts or practices through its rulemaking, supervisory and enforcement authority. To assist in its enforcement, the CFPB has maintained an online complaint system that allows consumers to log complaints with respect to various consumer finance products, including our loan products. This system could inform future CFPB decisions with respect to its regulatory, enforcement or examination focus. The CFPB may also request reports concerning our organization, business conduct, markets and activities and conduct on-site examinations of our business on a periodic basis if the CFPB were to determine, through its complaint system, that we were engaging in activities that pose risks to our customers.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There has been uncertainty about the future of the CFPB and how its strategies and priorities, including in both its examination and enforcement processes, would impact our business, financial condition, and our results of operations going forward. In recent years, this uncertainty has included the examination and enforcement priorities of the previous director of the CFPB under the Biden administration, which included safeguarding against algorithmic bias. In addition, evolving views regarding the use of alternative variables and machine learning in assessing credit risk, which the CFPB identified previously as a regulatory focus, could result in the CFPB taking actions that result in requirements to alter or cease offering affected financial products and services, making them less attractive and restricting our ability to offer them. The CFPB could also implement rules that restrict our effectiveness in servicing our financial products.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With the current administration, the CFPB’s influence is continuing to evolve, with uncertainty regarding the agency’s role going forward. Current CFPB leadership recently indicated that the agency will not draw additional funds from the Federal Reserve, instructed CFPB employees to cease all enforcement, investigations, supervision, rulemaking, and other activities that are not either expressly approved by the Acting Director or are expressly required by law, and proposed significant workforce reductions. While some executive branch staff and lawmakers have called for the complete elimination of the CFPB, the leadership slated to head the CFPB (subject to Senate confirmation) suggests the possibility of the agency continuing to exist with, perhaps, reduced or modified supervision and enforcement priorities. While there is the potential for a reduction in CFPB enforcement over the term of the current administration, this is not certain, and the laws and regulations the agency is charged with implementing will not be eliminated absent legislative or agency action, and in many cases have long limitations periods, meaning that the risks associated with non-compliance or alleged non-compliance may continue to exist after the current administration’s term has ended.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current administration also has appointed or is expected to nominate or appoint leadership at other federal agencies such as the FTC, the OCC, and the Federal Deposit Insurance Corporation (“FDIC”). It is possible that these regulators could promulgate rulemakings and bring enforcement actions that adversely affect our business and/or the business of our partners. An actual or perceived reduction in federal oversight has the potential to lead to a more fragmented regulatory environment, with state financial regulators and attorneys general—particularly in “blue” states (e.g., California with its Department of Financial Protection and Innovation), but likely also in at least some “red” states—potentially becoming more strident in response to retrenchment at the federal level. Federal retrenchment also carries the risk of the various states interpreting federal consumer financial protection laws differently, while also enforcing their unique state law regimes (including, in some cases, state laws that deem federal law violations to be state law violations, as well), further complicating the compliance burden for regulated entities. Additionally, the long statutes of limitation contained in some federal laws and regulations mean that past conduct may still be subject to enforcement by governmental agencies or litigation involving private plaintiffs in the future, particularly to the extent existing laws and regulations continue to be in effect, notwithstanding any pauses or reduction in federal enforcement that may occur during the Trump administration. Although we have committed resources to enhancing our compliance programs, future actions by the CFPB or other regulators against us, our partners or our competitors could discourage the use of our services or those of our partners, which could result in reputational harm, a loss of customers, or loan purchasers in our loan funding programs, or discourage the use of our or their services and adversely affect our business, financial condition, and results of operations. If the CFPB changes regulations that were adopted in the past by other regulators and transferred to the CFPB by the Dodd-Frank Act, or modifies through supervision or enforcement past regulatory guidance or interprets existing regulations in a different or stricter manner than they have been interpreted in the past by us, the industry or other regulators, our compliance costs and litigation exposure could increase materially, or we may be unable to offer our products in their current form without significant changes to our underwriting, loan origination, or other practices. This is particularly true with respect to the application of the Equal Credit Opportunity Act and Regulation B to credit risk models that rely upon alternative variables and machine learning, an area of law where regulatory guidance is currently uncertain and still evolving, and for which there are not well-established regulatory norms for establishing compliance.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Our compliance and operational costs and litigation exposure could increase if and when the CFPB or another federal or state agency amends or finalizes any proposed regulations, or if the CFPB or other federal or state regulators enact new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76"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lineRule="auto" w:line="288" w:before="0" w:after="180"/>
        <w:jc w:val="left"/>
        <w:rPr/>
      </w:pPr>
      <w:hyperlink w:anchor="i8e13d1b6f3764394b0e424082d2ac79f_7">
        <w:r>
          <w:rPr>
            <w:rStyle w:val="InternetLink"/>
            <w:rFonts w:ascii="Times New Roman;serif" w:hAnsi="Times New Roman;serif"/>
            <w:b w:val="false"/>
            <w:color w:val="000080"/>
            <w:sz w:val="20"/>
            <w:u w:val="single"/>
          </w:rPr>
          <w:t>Table of Content</w:t>
        </w:r>
      </w:hyperlink>
      <w:hyperlink w:anchor="i8e13d1b6f3764394b0e424082d2ac79f_7">
        <w:r>
          <w:rPr>
            <w:rStyle w:val="InternetLink"/>
            <w:rFonts w:ascii="Times New Roman;serif" w:hAnsi="Times New Roman;serif"/>
            <w:b w:val="false"/>
            <w:color w:val="000080"/>
            <w:sz w:val="20"/>
            <w:u w:val="single"/>
          </w:rPr>
          <w: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regulations, change regulations that were previously adopted, modify, through supervision or enforcement, past regulatory guidance, or interpret existing regulations in a manner that is different or stricter than previous interpretations. Further, if future federal or state regulatory or legislative restrictions or prohibitions are imposed that affect our ability to offer certain of our products or that require us to make significant changes to our business practices, and if we are unable to develop compliant alternatives with acceptable returns, these restrictions or prohibitions could have a material adverse effect on our business. Our business, financial condition, and results of operations could also be affected if the CFPB, or another regulator, were to issue a consent decree or other similar order against us.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origination and servicing policies and procedures, as well as other policies and procedures covering certain aspects of our business, are subject to examination by our regulators, and the results of these examinations may require substantial financial resources to remediate or make changes to our business practices.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are examined by numerous regulatory agencies, including in connection with our activities as a non-depository loan originator and servicer, money transmitter, broker-dealer and ATS, investment adviser, and transfer agent, for compliance with federal, state and local laws, rules, and guidelines. It is possible that any of these regulators will inquire about our practices, policies, or procedures relating to our regulated activities and require us to revise them in the future. The occurrence of one or more of the foregoing events or a determination by any court or regulatory agency that our practices, policies and procedures do not comply with applicable law could lead to downgrades by one or more rating agencies of the bonds issued by our securitization trusts, a transfer of our servicing responsibilities, increased delinquencies on the loans we service, other adverse impacts, or any combination of these events. Such a determination could also require us to modify our servicing standards or our practices, policies, or procedures relating to our regulated activities.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are also supervised by regulatory agencies under state law. State attorneys general, state licensing regulators, and state and local consumer protection offices have authority to investigate consumer complaints and commence investigations and other formal and informal proceedings regarding our operations and activities. In addition, we are subject to periodic reviews and audits by state financial regulators, various investors, non-agency securitization trustees, repurchase warehouse facility providers, and others. A determination of our failure to comply with applicable law or other relevant requirements could lead to enforcement action, administrative fines and penalties, or other administrative action, which may adversely affect our business, financial condition, and results of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The regulatory regime governing blockchain technologies is uncertain, and new regulations or policies may alter our business practices with respect to blockchain or could adversely impact our business.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use of blockchain technology, including in the primary and secondary loan markets, is still in relatively early stages of growth. Regulation of blockchain-related activities remains uncertain and will continue to evolve. As blockchain technology has grown in popularity, federal and state agencies are increasingly taking an interest in, and in certain cases regulating or commencing litigation or enforcement actions based on, its use and operation, and our activities with respect to blockchain may be restricted or curtailed.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laws and regulations to which we are subject, including those pertaining to blockchain-related activities, are rapidly evolving and increasing in scope, except with respect to certain voting rights as required under Nevada law or under our second amended and restated articles of incorporation. There has been guidance, reports, and public statements issued by federal and state financial regulators regarding the legal permissibility of, and supervisory considerations relating to, financial institutions engaging in blockchain-related activities. We continue to monitor these developments closely and seek to ensure that our blockchain-related activities conform with applicable requirements. However, if we are found to not comply with such requirements, we could be subject to administrative enforcement actions, lawsuits, civil and criminal penalties, and other legal and reputational harm, which could adversely affect our business, financial condition, and results of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The characterization of HASH as a security may subject us to operational changes, litigation, and significant liability under applicable securities laws, which could have a material adverse effect on our business, financial condition, and results of operations.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In May 2021, FT launched Provenance Blockchain 2.0 and concurrently created and sold HASH to facilitate the creation of the blockchain. Because we operate our business and use Provenance Blockchain on the basis that HASH is not characterized as a “security” for purposes of U.S. federal or state securities laws, the classification of HASH as a security would have wide-ranging implications for the regulatory obligations that flow from the offer, sale and trading of HASH. A digital asset that is deemed to be a security in the United States may only be offered or sold pursuant to a registration statement filed with the SEC or in an offering that qualifies for an exemption from registration under the Securities Act, and persons that effect transactions in, that record or match transactions, or provide a trading venue for, digital assets that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77"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lineRule="auto" w:line="288" w:before="0" w:after="180"/>
        <w:jc w:val="left"/>
        <w:rPr/>
      </w:pPr>
      <w:hyperlink w:anchor="i8e13d1b6f3764394b0e424082d2ac79f_7">
        <w:r>
          <w:rPr>
            <w:rStyle w:val="InternetLink"/>
            <w:rFonts w:ascii="Times New Roman;serif" w:hAnsi="Times New Roman;serif"/>
            <w:b w:val="false"/>
            <w:color w:val="000080"/>
            <w:sz w:val="20"/>
            <w:u w:val="single"/>
          </w:rPr>
          <w:t>Table of Content</w:t>
        </w:r>
      </w:hyperlink>
      <w:hyperlink w:anchor="i8e13d1b6f3764394b0e424082d2ac79f_7">
        <w:r>
          <w:rPr>
            <w:rStyle w:val="InternetLink"/>
            <w:rFonts w:ascii="Times New Roman;serif" w:hAnsi="Times New Roman;serif"/>
            <w:b w:val="false"/>
            <w:color w:val="000080"/>
            <w:sz w:val="20"/>
            <w:u w:val="single"/>
          </w:rPr>
          <w: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are securities in the United States may be subject to registration with the SEC as a “broker,” “dealer,” “exchange,” “transfer agent” or “clearing agency,” as applicable.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utilize Provenance Blockchain as a recordkeeping source, and Provenance Blockchain relies on HASH to function. Participants incur certain usage fees in connection with their use of Provenance Blockchain, which are paid in the form of HASH. If HASH were characterized as a security, Provenance Blockchain in its current form would be inoperable or impracticable for our purposes. As a result, the characterization of HASH as a security would likely require us to move our blockchain-related activities to a new blockchain or continue to rely entirely on traditional documentary processes to record asset originations and transfers of ownership, as complying with applicable securities regulations may render the Provenance Blockchain in its current form inoperable or impracticable for the purposes for which we use it. While we currently maintain traditional documentary processes to record asset originations and transfers, the additional recording of such originations and transfers on Provenance Blockchain is expected to present significant operational advantages in the future that we believe will contribute to our growth and improve our results of operations over time. If HASH were to be deemed a security and Provenance Blockchain were to become inoperable or impractical for our purposes, we may be required to move our blockchain-related activities to a new blockchain, which would require additional resources and costs.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a result of the failure to comply with applicable securities law requirements if HASH were deemed a security, FT could also face regulatory fines, enforcement actions and litigation. FLC, as an affiliate of FT at the time HASH was created and sold, could become a party to such litigation and enforcement actions and may be subject to liability as a successor to FT. FT may also be subject to claims that it violated U.S. federal or state securities laws, including but not limited to Section 5 of the Securities Act, and may be obligated to pay rescissionary payments or damages in connection with such claims (including to holders of HASH). As an entity that was formerly affiliated with the founder and promoter of Provenance Blockchain, FLC could also become subject to claims of aiding and abetting violations of U.S. federal or state securities laws in furtherance of the blockchain-related activities conducted by FT. Any such operational changes, litigation, enforcement actions, or securities law liability could have a material adverse effect on our business, financial condition, and results of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use of Provenance Blockchain subjects us to reputational risk that could adversely affect our business, and the failure to maintain blockchain-related activities in our operations could have a significant adverse effect on our growth, the operational and cost efficiencies anticipated from the use of our platform, and the marketability of our platform.</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If Provenance Blockchain is associated with any illicit activity, our reputation, as a prominent user of the blockchain, could be adversely affected, which could adversely affect our business, financial condition, and results of operations. Because Provenance Blockchain is a public and permissionless blockchain, users can interact directly with a market-making smart contract or on-chain trading mechanism to exchange one type of asset for another without any centralized intermediary. Due to this lack of centralized control or governing bodies, and considering other factors, including the speed with which transactions can be conducted on a blockchain, the ability to engage in transactions across multiple jurisdictions, the irreversible nature of certain transactions, the encryption technology that anonymizes these transactions, and the fact that blockchain-based assets have no physical form, blockchain-based assets are potentially susceptible to use in illegal activity such as fraud, money laundering, tax evasion, and other types of cybercrime. Digital asset platforms have been shut down or experienced losses of assets placed on the platform as a result of cybercrime, and any such event is likely to result in the complete loss of assets placed on such a platform. Any negative news or regulatory events associated with Provenance Blockchain could raise questions from our investors and cause reputational harm to us.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If we are unable to use the Provenance Blockchain or if we believe that reputational harm may result from our use of Provenance Blockchain, we may also be required to move our blockchain-related activities to a new blockchain. While Figure Connect, DART, Figure Exchange, YLDS, Democratized Prime, OPEN and our Blockchain Stock rely on the use of blockchain technology, our LOS does not rely on the use of blockchain technology, and all asset originations and transfers of ownership in our LOS are recorded through traditional documentary processes in accordance with state and local requirements. In addition to such processes, the information associated with the origination of an asset and any subsequent transfers of such asset are recorded with a unique hash value on Provenance Blockchain, which is generated by using a cryptographic algorithm and provides a secure, immutable record of data provenance, as any alteration in the data would result in a different hash, signaling tampering. While we maintain traditional documentation to record asset ownership and transfer, we believe that the additional recording of assets using blockchain technology presents significant operational advantages that will contribute to our growth and the improvement of our results of operations over time. If we experience reputational issues with Provenance Blockchain and are unable to move our blockchain-related activities to a new blockchain, the failure to implement such activities on a new blockchain could have a significant adverse effect on our growth, the operational and cost efficiencies anticipated from the use of our platform, and the marketability of our platform.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78"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lineRule="auto" w:line="288" w:before="0" w:after="180"/>
        <w:jc w:val="left"/>
        <w:rPr/>
      </w:pPr>
      <w:hyperlink w:anchor="i8e13d1b6f3764394b0e424082d2ac79f_7">
        <w:r>
          <w:rPr>
            <w:rStyle w:val="InternetLink"/>
            <w:rFonts w:ascii="Times New Roman;serif" w:hAnsi="Times New Roman;serif"/>
            <w:b w:val="false"/>
            <w:color w:val="000080"/>
            <w:sz w:val="20"/>
            <w:u w:val="single"/>
          </w:rPr>
          <w:t>Table of Content</w:t>
        </w:r>
      </w:hyperlink>
      <w:hyperlink w:anchor="i8e13d1b6f3764394b0e424082d2ac79f_7">
        <w:r>
          <w:rPr>
            <w:rStyle w:val="InternetLink"/>
            <w:rFonts w:ascii="Times New Roman;serif" w:hAnsi="Times New Roman;serif"/>
            <w:b w:val="false"/>
            <w:color w:val="000080"/>
            <w:sz w:val="20"/>
            <w:u w:val="single"/>
          </w:rPr>
          <w:t>s</w:t>
        </w:r>
      </w:hyperlink>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Challenges to DART could materially and adversely affect our business, financial condition, and results of operations.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DART, which we developed, is an electronic registry that tracks servicing rights and ownership of loans in the United States. We have used in the past, and currently use, DART as a lien and eNote registry system. As of December 31, 2025, 115 entities have executed agreements to participate in DART as an originator, secured party/financier, loan buyer, servicer, and/or custodian. In March 2024, we began making DART available for use by select partners, and, as of December 31, 2025, there were 80,409 loans that relied on DART as a registry. DART is part of a dual registry for real property records. DART Collateral Manager LLC acts as the trustee for platform-originated loans. DART Portfolio Manager LLC facilitates and documents subsequent transfers. DART monitors all DART Collateral Manager LLC transactions and automatically updates the DART registry with real-time control changes. All DART records are stored on-chain and security interests reflected on the DART registry are recognized by Figure Connect participants via their assent to uniform DART Participation Rules. Although we have conducted analyses and surveys of applicable state and federal statutory law, case law, regulations, and regulatory guidance to determine that DART, in conjunction with the dual registry process explained above, constitutes a valid and effective lien and electronic note registry, if the use of DART were found not valid or effective, we could be obligated, or choose, to take remedial actions and may be subject to additional costs or losses. If this were to occur, as well as any failures to apply prudent and effective process controls in our use of DART and to comply with legal and other requirements in the foreclosure process, it could pose operational, reputational, and legal risks that could materially and adversely affect our business, financial condition, and results of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Regulatory agencies and consumer advocacy groups have been aggressive in asserting claims that the practices of lenders and loan servicers result in a disparate impact on or unfair treatment of protected classes. We could suffer reputational damage and could be fined or otherwise penalized if our practices are found to have a discriminatory effect or to be unfair.</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Anti-discrimination statutes, such as the Fair Housing Act and the Equal Credit Opportunity Act, prohibit creditors from discriminating against loan applicants and borrowers based on certain characteristics, such as race, religion, and national origin. Various U.S. federal regulatory agencies and departments, including the U.S. Department of Justice and the CFPB, have previously taken the position that these laws apply not only to intentional discrimination, but also to neutral practices that have a disparate impact on a group that shares a characteristic that a creditor is not permitted to consider in making credit decisions (i.e., creditor or servicing practices that have a disproportionate negative effect on a protected class of individuals).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These regulatory agencies, as well as consumer advocacy groups and plaintiffs’ attorneys have focused on “disparate impact” claims, and the U.S. Supreme Court confirmed that the “disparate impact” theory applies to cases brought under the Fair Housing Act. Although it is still unclear whether the “disparate impact” theory applies under the Equal Credit Opportunity Act, some regulatory agencies and private plaintiffs may continue to apply it to both the Fair Housing Act and the Equal Credit Opportunity Act in the context of mortgage lending and servicing. To the extent that the “disparate impact” theory continues to apply, we may be faced with significant administrative burdens in attempting to comply and potential liability for failures to comply.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Additionally, in March 2022, the CFPB announced that, in the course of examining companies’ compliance with consumer protection rules, the CFPB will scrutinize discriminatory conduct that violates the federal prohibition against unfair practices, indicating that certain discriminatory practices may trigger liability under the Consumer Financial Protection Act, which prohibits unfair, deceptive and abusive acts and practices, regardless of whether liability is triggered under the Equal Credit Opportunity Act. The CFPB stated that discrimination may meet the standard for “unfairness” regardless of whether it was intentional. Although a federal court subsequently vacated the CFPB’s updates to its examination manual that directed examiners to cite discriminatory conduct as a potential unfair practice, the CFPB appealed this ruling under the previous administration. On April 30, 2025, the CFPB and the plaintiffs in the litigation regarding the CFPB’s updates to its examination manual filed a joint stipulation to dismiss the appeal with the United States Court of Appeals for the Fifth Circuit.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Under the current administration, the CFPB’s and other federal agencies’ influence and emphasis on fair lending matters can be expected to evolve. Nevertheless, to the extent the Equal Credit Opportunity Act and the Fair Housing Act remain law, even if there is reduced rulemaking and enforcement of these laws, we will continue to be subject to their limitations, meaning that the risks associated with non-compliance or alleged non-compliance will continue to exist.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addition to reputational harm, violations of the Equal Credit Opportunity Act and the Fair Housing Act can result in actual damages, punitive damages, injunctive or equitable relief, attorneys’ fees, and civil money penalties. The CFPB can seek several remedies under the Consumer Financial Protection Act including, but not limited to, rescission or reformation of contracts, refunds of money, restitution, disgorgement, payment of damages, and civil money penalties.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79"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lineRule="auto" w:line="288" w:before="0" w:after="180"/>
        <w:jc w:val="left"/>
        <w:rPr/>
      </w:pPr>
      <w:hyperlink w:anchor="i8e13d1b6f3764394b0e424082d2ac79f_7">
        <w:r>
          <w:rPr>
            <w:rStyle w:val="InternetLink"/>
            <w:rFonts w:ascii="Times New Roman;serif" w:hAnsi="Times New Roman;serif"/>
            <w:b w:val="false"/>
            <w:color w:val="000080"/>
            <w:sz w:val="20"/>
            <w:u w:val="single"/>
          </w:rPr>
          <w:t>Table of Content</w:t>
        </w:r>
      </w:hyperlink>
      <w:hyperlink w:anchor="i8e13d1b6f3764394b0e424082d2ac79f_7">
        <w:r>
          <w:rPr>
            <w:rStyle w:val="InternetLink"/>
            <w:rFonts w:ascii="Times New Roman;serif" w:hAnsi="Times New Roman;serif"/>
            <w:b w:val="false"/>
            <w:color w:val="000080"/>
            <w:sz w:val="20"/>
            <w:u w:val="single"/>
          </w:rPr>
          <w: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Further, the previous administration was focused on preventing discrimination in the residential home valuation process. For example, in February 2022, the CFPB and seven other federal agencies sent a joint letter to The Appraisal Foundation (“TAF”) emphasizing that discrimination prohibitions under the Fair Housing Act and the Equal Credit Opportunity Act extend to appraisals, and the CFPB released an outline of possible options for future rulemaking to prevent algorithmic bias in automated home valuation models. In March 2022, HUD delivered to President Biden an Interagency Task Force on Property Appraisal and Valuation Equity Action Plan (“PAVE”), which, among other things, describes efforts the task force—which includes 13 federal agencies—plans to take to reduce racial bias in home appraisals. In February 2023, the CFPB, HUD, and other federal regulators submitted a joint letter to TAF urging TAF to further revise its draft Ethics Rule for appraisers to include a detailed statement of federal prohibitions against discrimination under the Fair Housing Act and the Equal Credit Opportunity Act. In March 2023, the U.S. Department of Justice and the CFPB filed a statement of interest in a federal court appraisal bias case, asserting that a lender violates both the Fair Housing Act and the Equal Credit Opportunity Act “if it relies on an appraisal that it knows or should know to be discriminatory.” However, with the current administration, the PAVE task force’s website recently was taken down, apparently in connection with the administration’s efforts to end government Diversity, Equity, and Inclusion (“DEI”) initiatives, which may signal, but does not confirm, the potential for reduced or differing focus on preventing discrimination in the residential home valuation process. However, even if the federal agency emphasis on these issues changes, state regulatory authorities could become more strident in response to the federal-level retrenchment, potentially by implementing new legislation, regulations, or guidance, or initiating enforcement aimed at preventing discrimination in the residential home valuation process. Changes to home valuation rules and expectations could obligate us to modify our valuation-related processes and practices. If we are unable to make the necessary adjustments, our reputation could be harmed, our business could be adversely affected, and we could be subject to liability under various laws, such as the Fair Housing Act, Equal Credit Opportunity Act, the Consumer Financial Protection Act, and similar state laws.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Certain transactions in digital assets may constitute “retail commodity transactions” subject to regulation by the CFTC as futures contracts. If digital asset transactions we facilitate are deemed to be such retail commodity transactions, we would be subject to additional regulatory requirements, licenses and approvals, and potentially face regulatory enforcement, civil liability, and significant increased compliance and operational costs.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Any transaction in a commodity, including a digital asset commodity, entered into with or offered to retail investors using leverage, margin, or other financing arrangements (a “retail commodity transaction”) is subject to CFTC regulation as a futures contract unless such transaction results in actual delivery within 28 days. For these purposes, a retail investor means a person who is not an “eligible contract participant” for CFTC regulatory purposes. The meaning of “actual delivery” has been the subject of commentary and litigation, and in 2020, the CFTC adopted interpretive guidance addressing the “actual delivery” of a digital asset. In addition to trading in existing digital assets such as Bitcoin or Ether on a leveraged or financed basis, based on recent CFTC enforcement actions, these retail commodity transaction rules may also be implicated by certain digital assets, such as “leverage tokens,” that feature or are designed to offer inherent leveraged exposure to some other digital asset.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currently and have previously offered leveraged or margined trading in digital assets as part of our Figure Markets business, but such offering is limited to (i) U.S. customers who are “eligible contract participants” and (ii) international customers. However, there is no guarantee that the steps we take to verify U.S. customer “eligible contract participant” status and exclude U.S. retail customers from accessing this offering will be effective. In the event such steps are not effective, or other digital asset transactions that we facilitate or facilitated are deemed retail commodity transactions, including pursuant to current or subsequent rulemaking or guidance by the CFTC, we may be subject to additional regulatory requirements and oversight, and we could be subject to judicial or administrative sanctions if we do not or did not at a relevant time possess appropriate registrations. The CFTC has previously brought enforcement actions against entities engaged in retail commodity transactions without appropriate registrations, as well as recent enforcement settled orders against developers of decentralized platforms.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Particular digital assets or transactions therein could be deemed “commodity interests” (e.g., futures, options, swaps) or security-based swaps subject to regulation by the CFTC or SEC, respectively. If a digital asset that we facilitate trading in is deemed a commodity interest or a security-based swap, we would be subject to additional regulatory requirements, registrations and approvals, and potentially face regulatory enforcement, civil liability, and significant increased compliance and operational costs.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As noted above, commodity interests transactions, as such term is defined by CFTC rules and regulations, include futures, options, swaps, and other derivatives on an underlying commodity, are subject to plenary regulation and supervisory oversight by the CFTC, including rules requiring the registration of entities engaged in, and platforms offering, certain exchange and intermediary functions in respect of commodity interest transactions. This CFTC regulatory and supervisory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0"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80</w:t>
                      </w:r>
                    </w:p>
                  </w:txbxContent>
                </v:textbox>
                <w10:wrap type="none"/>
              </v:rect>
            </w:pict>
          </mc:Fallback>
        </mc:AlternateContent>
      </w:r>
    </w:p>
    <w:p>
      <w:pPr>
        <w:pStyle w:val="TextBody"/>
        <w:bidi w:val="0"/>
        <w:spacing w:lineRule="auto" w:line="288" w:before="0" w:after="180"/>
        <w:jc w:val="left"/>
        <w:rPr/>
      </w:pPr>
      <w:hyperlink w:anchor="i8e13d1b6f3764394b0e424082d2ac79f_7">
        <w:r>
          <w:rPr>
            <w:rStyle w:val="InternetLink"/>
            <w:rFonts w:ascii="Times New Roman;serif" w:hAnsi="Times New Roman;serif"/>
            <w:b w:val="false"/>
            <w:color w:val="000080"/>
            <w:sz w:val="20"/>
            <w:u w:val="single"/>
          </w:rPr>
          <w:t>Table of Content</w:t>
        </w:r>
      </w:hyperlink>
      <w:hyperlink w:anchor="i8e13d1b6f3764394b0e424082d2ac79f_7">
        <w:r>
          <w:rPr>
            <w:rStyle w:val="InternetLink"/>
            <w:rFonts w:ascii="Times New Roman;serif" w:hAnsi="Times New Roman;serif"/>
            <w:b w:val="false"/>
            <w:color w:val="000080"/>
            <w:sz w:val="20"/>
            <w:u w:val="single"/>
          </w:rPr>
          <w: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authority extends to commodity interest transactions involving any digital asset commodity, such as digital asset futures contracts and swaps and other transactions that are based on current and future prices of digital assets and indices of digital assets. To the extent that a digital asset in which we facilitate or facilitated trading or transactions in a digital asset which we facilitate or facilitated are deemed to fall within the definition of a commodity interest, including pursuant to subsequent rulemaking or guidance by the CFTC, we may be subject to additional regulatory requirements and oversight and could be subject to judicial or administrative sanctions if we do not or did not at a relevant time possess appropriate registrations as an exchange (for example, as a designated contract market for trading futures or options on futures, or as a swaps execution facility for trading swaps) or as a registered intermediary (for example, as a futures commission merchant or introducing broker). Such actions could result in injunctions, cease and desist orders, civil monetary penalties, fines, disgorgement, and reputational harm. The CFTC has previously brought enforcement actions against entities engaged in digital asset activities for failure to obtain appropriate exchange, execution facility and intermediary registrations.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Furthermore, the CFTC and the SEC have jointly adopted regulations defining “swaps” and “security-based swaps.” Security-based swaps include swaps based on single securities and narrow-based indices of securities. If a digital asset is deemed to be a security, certain transactions referencing that digital asset could constitute a security-based swap. A digital asset or transaction therein that is based on or references a security or index of securities, whether or not such securities are themselves digital assets, could also constitute a security-based swap. To the extent that a digital asset in which we facilitate or have facilitated trading or transactions in a digital asset which we facilitate or have facilitated are deemed to fall within the definition of a security-based swap, including pursuant to subsequent rulemaking or guidance by the CFTC or SEC, we may be subject to additional regulatory requirements and oversight by the SEC and could be subject to judicial or administrative sanctions if we do not or did not a relevant time possess appropriate registrations as an exchange (for example, as a security-based swaps execution facility) or as a registered intermediary (for example, as a security-based swap dealer or broker-dealer). This could result in injunctions, cease and desist orders, civil monetary penalties, fines, disgorgement, and reputational harm.</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The requirements of being a public company may strain our resources, divert management’s attention, and affect our ability to attract and retain qualified board members.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a public company, we are subject to the reporting requirements of the Exchange Act, the Sarbanes-Oxley Act of 2002 (the “Sarbanes-Oxley Act”), the Dodd-Frank Act, the listing requirements of NASDAQ and other applicable securities rules and regulations. Compliance with these rules and regulations may increase our legal and financial compliance costs, make some activities more difficult, time consuming, or costly, and increase demand on our systems and resources, especially once we are no longer an “emerging growth company,” as defined in the JOBS Act. For additional information, see the section titled “—Risks Related to Ownership of Our Securities —We are an ‘emerging growth company,’ and we cannot be certain if the reduced disclosure requirements applicable to emerging growth companies will make our Class A common stock and blockchain stock less attractive to investors.” The Exchange Act requires, among other things, that we file annual, quarterly, and current reports with respect to our business and results of operations. In addition, we expect that our management and other personnel will need to divert attention from operational and other business matters to devote substantial time to these public company requirements. We cannot predict or estimate the amount of additional costs we may incur as a result of being a public company or the timing of such costs.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executive officers have limited experience in dealing with the increasingly complex laws pertaining to public companies, which may increase the amount of their time devoted to these activities and result in less time being devoted to the management and growth of the business. We continue to evaluate whether we have adequate personnel with the appropriate level of knowledge, experience and training in the accounting policies, practices or internal control over financial reporting required of public companies. We may expand our employee base and hire additional employees to support our operations as a public company, which may in the future cause our operating costs to increase. For additional information, see the section titled “—Regulatory, Tax and Other Legal Risks—If we fail to establish and maintain proper and effective internal control over financial reporting, our ability to produce accurate and timely financial statements could be impaired, investors may lose confidence in our financial reporting and the trading price of our Class A common stock and Blockchain Stock may decline.”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Being a public company also makes it more expensive for us to obtain director and officer liability insurance, and we may be required to accept reduced coverage, incur substantially higher costs to obtain coverage or only obtain coverage with a significant deductible. These factors could also make it more difficult for us to attract and retain qualified executive officers and qualified members of our board of directors in the future, particularly to serve on our audit committee and compensation committee.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1"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81</w:t>
                      </w:r>
                    </w:p>
                  </w:txbxContent>
                </v:textbox>
                <w10:wrap type="none"/>
              </v:rect>
            </w:pict>
          </mc:Fallback>
        </mc:AlternateContent>
      </w:r>
    </w:p>
    <w:p>
      <w:pPr>
        <w:pStyle w:val="TextBody"/>
        <w:bidi w:val="0"/>
        <w:spacing w:lineRule="auto" w:line="288" w:before="0" w:after="180"/>
        <w:jc w:val="left"/>
        <w:rPr/>
      </w:pPr>
      <w:hyperlink w:anchor="i8e13d1b6f3764394b0e424082d2ac79f_7">
        <w:r>
          <w:rPr>
            <w:rStyle w:val="InternetLink"/>
            <w:rFonts w:ascii="Times New Roman;serif" w:hAnsi="Times New Roman;serif"/>
            <w:b w:val="false"/>
            <w:color w:val="000080"/>
            <w:sz w:val="20"/>
            <w:u w:val="single"/>
          </w:rPr>
          <w:t>Table of Content</w:t>
        </w:r>
      </w:hyperlink>
      <w:hyperlink w:anchor="i8e13d1b6f3764394b0e424082d2ac79f_7">
        <w:r>
          <w:rPr>
            <w:rStyle w:val="InternetLink"/>
            <w:rFonts w:ascii="Times New Roman;serif" w:hAnsi="Times New Roman;serif"/>
            <w:b w:val="false"/>
            <w:color w:val="000080"/>
            <w:sz w:val="20"/>
            <w:u w:val="single"/>
          </w:rPr>
          <w: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addition, changing laws, regulations, and standards relating to corporate governance and public disclosure are creating uncertainty for public companies, increasing legal and financial compliance costs, and making some activities more time consuming. These laws, regulations, and standards are subject to varying interpretations in many cases due to their lack of specificity, and as a result, their application in practice may evolve over time as new guidance is provided by regulatory and governing bodies. Evolving laws, regulations, and standards could result in continuing uncertainty regarding compliance matters and higher costs necessitated by ongoing revisions to disclosure and governance practices. We invest resources to comply with evolving laws, regulations and standards, and this investment may result in increased general and administrative expenses and a diversion of management’s time and attention from revenue-generating activities to compliance activities. If, notwithstanding our efforts, we fail to comply with new laws, regulations and standards or our efforts differ from the activities intended by regulatory or governing bodies due to ambiguities related to their application and practice, regulatory authorities may initiate legal proceedings against us, and our business, financial condition, and results of operations could be adversely affected.</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In prior periods, we have identified material weaknesses in our internal control over financial reporting. If we experience additional material weaknesses in the future or otherwise fail to continue to design, implement and maintain effective internal control over financial reporting, we may not be able to accurately report our financial condition or results of operations which may adversely affect investor confidence in us and, as a result, the value of our Class A common stock and Blockchain Stock.</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Under the rules and regulations of the SEC regarding compliance with Section 404 of the Sarbanes Oxley Act (“Section 404”), we are required to furnish a report by management on, among other things, the effectiveness of our internal control over financial reporting beginning with our second Annual Report on Form 10-K. This assessment will need to include disclosure of any material weaknesses identified by our management in our internal control over financial reporting. A material weakness is a deficiency, or combination of deficiencies, in internal control over financial reporting, such that there is a reasonable possibility that a material misstatement of our annual or interim consolidated financial statements will not be prevented or detected on a timely basis.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To comply with the requirements of being a reporting company under the Exchange Act, including performing the evaluation needed to comply with Section 404, we have taken various actions, and expect to take additional actions, to implement additional internal control over financial reporting. This has required and will continue to require that we incur substantial additional professional fees and internal costs to expand our accounting and finance functions and that we expend significant management efforts. We have spent and expect to continue to spend significant time and resources designing, evaluating and testing our accounting procedures and internal controls. As a private company, we were not required to test our internal control over financial reporting within a specified period. We may not be able to complete our evaluation, testing and any required remediation in a timely fashion. During the evaluation and testing process, if we identify one or more material weaknesses in our internal control over financial reporting, we will be unable to assert that our internal control over financial reporting is effective.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of December 31, 2024, the following material weaknesses existed: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we did not design or maintain an effective control environment commensurate with our financial reporting requirements; specifically, we did not maintain adequate resources in the accounting and finance functions with requisite knowledge, skills, and experience to accurately apply GAAP;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we did not design and maintain effective risk assessment and monitoring; specifically, we did not maintain adequate accounting function personnel to perform appropriate identification of risk points, and to design, implement, and monitor the effectiveness of internal controls addressing the risk points identified.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These material weaknesses contributed to several additional material weaknesses. Specifically, we did not (i) design and maintain controls over technical accounting transactions to achieve adequate and timely analysis, (ii) effectively review manual aspects of recording loan assets to ensure that they were properly reflected on our balance sheet, or (iii) adequately review deliverables from management’s valuation specialists.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have not identified a material misstatement to our financial statements resulting from the material weaknesses described above. Nevertheless, we recognize that each of the material weaknesses described above could result in misstatements to substantially all financial statement accounts and disclosures that would result in a material misstatement to the annual or interim consolidated financial statements that would not be prevented or detected on a timely basis.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2"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82</w:t>
                      </w:r>
                    </w:p>
                  </w:txbxContent>
                </v:textbox>
                <w10:wrap type="none"/>
              </v:rect>
            </w:pict>
          </mc:Fallback>
        </mc:AlternateContent>
      </w:r>
    </w:p>
    <w:p>
      <w:pPr>
        <w:pStyle w:val="TextBody"/>
        <w:bidi w:val="0"/>
        <w:spacing w:lineRule="auto" w:line="288" w:before="0" w:after="180"/>
        <w:jc w:val="left"/>
        <w:rPr/>
      </w:pPr>
      <w:hyperlink w:anchor="i8e13d1b6f3764394b0e424082d2ac79f_7">
        <w:r>
          <w:rPr>
            <w:rStyle w:val="InternetLink"/>
            <w:rFonts w:ascii="Times New Roman;serif" w:hAnsi="Times New Roman;serif"/>
            <w:b w:val="false"/>
            <w:color w:val="000080"/>
            <w:sz w:val="20"/>
            <w:u w:val="single"/>
          </w:rPr>
          <w:t>Table of Content</w:t>
        </w:r>
      </w:hyperlink>
      <w:hyperlink w:anchor="i8e13d1b6f3764394b0e424082d2ac79f_7">
        <w:r>
          <w:rPr>
            <w:rStyle w:val="InternetLink"/>
            <w:rFonts w:ascii="Times New Roman;serif" w:hAnsi="Times New Roman;serif"/>
            <w:b w:val="false"/>
            <w:color w:val="000080"/>
            <w:sz w:val="20"/>
            <w:u w:val="single"/>
          </w:rPr>
          <w: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During the year ended December 31, 2025, the Company implemented remediation actions, including hiring additional resources and implementing internal controls over financial reporting designed to address the material weaknesses. Based on the remediation actions completed during the year ended December 31, 2025, the Company concluded that it has remediated the material weaknesses that existed as of December 31, 2024.</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have not been required to provide a management assessment of internal control over financial reporting under the rules and regulations of the SEC regarding compliance with Section 404(a) of the Sarbanes-Oxley Act (“Section 404(a)”). It is possible that if we had a Section 404(a) assessment, additional material weaknesses may have been identified. Additionally, our registered independent public accounting firm has not been engaged to perform an audit of our internal control over financial reporting.</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the future, it is possible that additional material weaknesses may be identified that we may be unable to remedy before the requisite deadline for those reports. Our ability to comply with the annual internal control over financial reporting requirements will depend on the effectiveness of our financial reporting and relevant information systems and controls across our Company. Any weaknesses or deficiencies or any failure to implement required new or improved controls, or difficulties encountered in the implementation or operation of these controls, could harm our results of operations and cause us to fail to meet our financial reporting obligations or result in material misstatements in our consolidated financial statements, which could adversely affect our business and reduce our stock price.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If we are unable to conclude that our internal control over financial reporting is effective, or if our independent registered public accounting firm determines we have a material weakness in our internal control over financial reporting, investors may lose confidence in the accuracy and completeness of our financial reports, the market price of our Class A common stock and Blockchain Stock could decline, and we could be subject to sanctions or investigations by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Changes in tax laws and examinations by tax authorities could have a material adverse effect on our business, financial condition, and results of operations.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are subject to taxes in the United States under federal, state, and local jurisdictions in which we operate. The governing tax laws and applicable tax rates vary by jurisdiction and are subject to change and interpretation.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may be subject to examination in the future, by U.S. federal, state and local, and non-U.S. authorities on income, employment, sales, and other tax matters. While we regularly assess the likelihood of adverse outcomes from such examinations and the adequacy of our provision for taxes, there can be no assurance that such provision is sufficient and that a determination by a tax authority would not have a material adverse effect on our business, financial condition, and results of operations. Various tax authorities may disagree with tax positions we take, and if any such tax authorities were to successfully challenge one or more of our tax positions, the results could materially adversely affect our business, financial condition, and results of operations. Further, the ultimate amount of tax payable in a given financial statement period may be impacted by sudden or unforeseen changes in tax laws, changes in the mix and level of earnings by taxing jurisdictions, or changes to existing accounting rules or regulations. The determination of our overall provision for income and other taxes is inherently uncertain as it requires significant judgment around complex transactions and calculations. As a result, fluctuations in our ultimate tax obligations may differ materially from amounts recorded in our financial statements and could materially adversely affect our business, financial condition, and results of operations in the periods for which such determination is made.</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ability to use our deferred tax assets to offset future taxable income may be subject to certain limitations, which could adversely affect our result of operations.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of December 31, 2025, a partial valuation allowance has been recorded against our deferred tax assets to reflect the amount of such assets that is not more likely than not to be realized. Our net deferred tax assets are primarily related to net operating loss carryforwards (“NOLs”). We assess the available positive and negative evidence to estimate if sufficient future taxable income will be generated to utilize the existing deferred tax assets. Certain of our deferred tax assets may expire unutilized or underutilized, which could prevent us from offsetting future taxable income.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may also be limited in the portion of NOLs that we can use in the future to offset taxable income for U.S. federal and state income tax purposes. For the years ended December 31, 2025, we had accumulated NOLs for U.S. federal and state tax purposes of approximately $34 million and $22 million, respectively. Under current law, U.S. federal NOLs arising in tax years beginning after December 31, 2017 can be carried forward indefinitely, but the deductibility of such NOLs 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3"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83</w:t>
                      </w:r>
                    </w:p>
                  </w:txbxContent>
                </v:textbox>
                <w10:wrap type="none"/>
              </v:rect>
            </w:pict>
          </mc:Fallback>
        </mc:AlternateContent>
      </w:r>
    </w:p>
    <w:p>
      <w:pPr>
        <w:pStyle w:val="TextBody"/>
        <w:bidi w:val="0"/>
        <w:spacing w:lineRule="auto" w:line="288" w:before="0" w:after="180"/>
        <w:jc w:val="left"/>
        <w:rPr/>
      </w:pPr>
      <w:hyperlink w:anchor="i8e13d1b6f3764394b0e424082d2ac79f_7">
        <w:r>
          <w:rPr>
            <w:rStyle w:val="InternetLink"/>
            <w:rFonts w:ascii="Times New Roman;serif" w:hAnsi="Times New Roman;serif"/>
            <w:b w:val="false"/>
            <w:color w:val="000080"/>
            <w:sz w:val="20"/>
            <w:u w:val="single"/>
          </w:rPr>
          <w:t>Table of Content</w:t>
        </w:r>
      </w:hyperlink>
      <w:hyperlink w:anchor="i8e13d1b6f3764394b0e424082d2ac79f_7">
        <w:r>
          <w:rPr>
            <w:rStyle w:val="InternetLink"/>
            <w:rFonts w:ascii="Times New Roman;serif" w:hAnsi="Times New Roman;serif"/>
            <w:b w:val="false"/>
            <w:color w:val="000080"/>
            <w:sz w:val="20"/>
            <w:u w:val="single"/>
          </w:rPr>
          <w: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limited to 80.0% of current year taxable income beginning after December 31, 2020. Therefore, a lack or insufficiency of future taxable income would adversely affect our ability to utilize NOLs. In addition, under Section 382 of the U.S. Internal Revenue Code of 1986, as amended (the “Code”), a corporation that undergoes an “ownership change” is generally subject to limitations on its ability to utilize its pre-change NOLs and certain credit and capital loss carryforwards to offset future taxable income. A Section 382 ownership change generally occurs if one or more stockholders or groups of stockholders who own at least 5.0% of our capital stock increase their ownership by more than 50 percentage points over their lowest ownership percentage within a rolling three-year period. Future changes in our stock ownership, including changes as a result of future offerings, as well as other changes that may be outside of our control, could result in additional ownership changes under Section 382 of the Code.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will continue to assess the realizability of our deferred tax assets in the future. Future adjustments in our valuation allowance may be required, which may have a material impact on our quarterly and annual results of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Tax authorities may successfully assert that we should have collected or in the future should collect sales and use, gross receipts, value added, digital services or similar taxes and may successfully impose additional obligations on us, and any such assessments or obligations could adversely affect our business, financial condition, and results of operations.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application of indirect taxes, such as sales and use tax, value-added tax, goods and services tax, digital services tax, business tax, gross receipts tax, and other similar taxes, to businesses such as ours is a complex and evolving issue. Many of the fundamental statutes and regulations that impose these taxes were established before the adoption and growth of the internet and e-commerce. Significant judgment is required on an ongoing basis to evaluate applicable tax obligations. In many cases, the ultimate tax determination is uncertain because it is not clear how new and existing statutes might apply to our business.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may face various indirect tax audits in various U.S. jurisdictions, and tax authorities may raise questions about or challenge or disagree with our calculation, reporting, or collection of taxes and may require us to collect taxes in jurisdictions in which we do not currently do so or to remit taxes and interest, and could impose associated penalties and fees. For example, following the U.S. Supreme Court decision in South Dakota v. Wayfair Inc., certain states have adopted, or begun to enforce, laws that may require the calculation, collection and remittance of taxes on sales in their jurisdictions, even if we do not have a physical presence in such jurisdictions. A successful assertion by one or more tax authorities requiring us to collect taxes in jurisdictions in which we do not currently do so could result in substantial tax liabilities, including taxes on past sales, as well as penalties and interest, and could harm our business, financial condition, and results of operations. If these liabilities exceed such reserves, our financial condition will be harmed.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a result of these and other factors, the ultimate amount of tax obligations owed may differ from the amounts recorded in our financial statements, and any such difference may adversely impact our results of operations in future periods in which we change our estimates of our tax obligations or in which the ultimate tax outcome is determined.</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Significant changes or developments in U.S. laws or policies, including changes in U.S. trade policies and tariffs and the reaction of other countries thereto, may have a material adverse effect on our business, financial condition, and results of operations.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Significant changes or developments in U.S. laws and policies, such as laws and policies surrounding international trade, foreign affairs, manufacturing and development and investment in the territories and countries where we or our customers operate, can materially adversely affect our business, financial condition, and results of operations. The Trump administration has imposed increased tariff rates on certain goods imported into the United States, which has led to corresponding punitive actions by the countries with which the U.S. trades. Any changes or potential changes in trade policies in the United States and the potential corresponding actions by other countries in which we do business could adversely and materially affect our business, financial condition, and results of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If our estimates or judgments relating to our critical accounting policies are based on assumptions that change or prove to be incorrect, our business, financial condition, and results of operations could be adversely affected.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preparation of financial statements in conformity with GAAP requires management to make estimates and assumptions that affect the amounts reported in our consolidated financial statements and accompanying notes. We base our estimates on historical experience and on various other assumptions that we believe to be reasonable under the circumstances, the results of which form the basis for making judgments about the carrying values of assets, liabilities, equity, revenue, and expenses that are not readily apparent from other sources. Our business, financial condition, and results of operations could be adversely affected if our assumptions change or if actual circumstances differ from those in our assumptions. Significant assumptions and estimates used in preparing our consolidated financial statements include those related to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4"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84</w:t>
                      </w:r>
                    </w:p>
                  </w:txbxContent>
                </v:textbox>
                <w10:wrap type="none"/>
              </v:rect>
            </w:pict>
          </mc:Fallback>
        </mc:AlternateContent>
      </w:r>
    </w:p>
    <w:p>
      <w:pPr>
        <w:pStyle w:val="TextBody"/>
        <w:bidi w:val="0"/>
        <w:spacing w:lineRule="auto" w:line="288" w:before="0" w:after="180"/>
        <w:jc w:val="left"/>
        <w:rPr/>
      </w:pPr>
      <w:hyperlink w:anchor="i8e13d1b6f3764394b0e424082d2ac79f_7">
        <w:r>
          <w:rPr>
            <w:rStyle w:val="InternetLink"/>
            <w:rFonts w:ascii="Times New Roman;serif" w:hAnsi="Times New Roman;serif"/>
            <w:b w:val="false"/>
            <w:color w:val="000080"/>
            <w:sz w:val="20"/>
            <w:u w:val="single"/>
          </w:rPr>
          <w:t>Table of Content</w:t>
        </w:r>
      </w:hyperlink>
      <w:hyperlink w:anchor="i8e13d1b6f3764394b0e424082d2ac79f_7">
        <w:r>
          <w:rPr>
            <w:rStyle w:val="InternetLink"/>
            <w:rFonts w:ascii="Times New Roman;serif" w:hAnsi="Times New Roman;serif"/>
            <w:b w:val="false"/>
            <w:color w:val="000080"/>
            <w:sz w:val="20"/>
            <w:u w:val="single"/>
          </w:rPr>
          <w: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determination of the prepayment rates, discount rates, default rates, and servicing rates (as applicable) used in determining the fair value adjustments for loans held for sale, held for investment and servicing assets, to the valuation allowance for deferred tax assets, fair value of warrants, and stock-based compensation, including the fair value of the related common stock and employee awards determined by dividend rate, interest rate, market volatility, and expected term of the respective awards, employee-related costs and other inputs for capitalized internal use software and the related useful life for amortization, and whether or not to consolidate a variable interest entity.</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Changes in accounting principles generally accepted in the United States may cause financial reporting fluctuations and could adversely affect our results of operations.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Generally accepted accounting principles in the United States are subject to interpretation by the FASB, the SEC, and various bodies formed to promulgate and interpret appropriate accounting principles. A change in these principles or interpretations could have a significant impact on our reported results of operations. Additionally, the adoption of new or revised accounting principles may require that we make significant changes to our systems, processes, and controls, which could negatively affect our results of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Failure to comply with anti-bribery, anti-corruption and other similar laws could subject us to penalties and other adverse consequences.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are subject to the Foreign Corrupt Practices Act (the “FCPA”), the U.S. domestic bribery statute contained in 18 U.S.C. § 201 and other anti-bribery and anti-corruption laws in the United States, and in the future, countries outside of the United States where we may conduct our activities. Anti-corruption and anti-bribery laws prohibit companies, their employees, agents, representatives, business partners, and third-party intermediaries from authorizing, offering, or providing, directly or indirectly, improper payments or benefits to foreign government officials, political parties, and private-sector recipients for the purpose of obtaining or retaining business, directing business to any person, or securing any advantage.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our employees, agents, representatives, business partners and third-party intermediaries may have direct or indirect interactions with officials and employees of government agencies or state-owned or affiliated entities, and we may be held liable for the corrupt or other illegal activities of these employees, agents, representatives, business partners or third-party intermediaries even if we do not explicitly authorize such activities. We cannot assure you that all of our employees, agents, representatives, business partners or third-party intermediaries will not take actions in violation of applicable law for which we may be ultimately held responsible.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These laws also require that we keep accurate books and records and maintain internal controls and compliance procedures designed to prevent any such actions. While we have policies and procedures to address compliance with such laws, we cannot assure you that none of our employees, agents, representatives, business partners or third-party intermediaries will take actions in violation of our policies and applicable law, for which we may be ultimately held responsible.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Any allegations or violations of the FCPA or other applicable anti-bribery and anti-corruption laws could result in whistleblower complaints, sanctions, settlements, prosecution, enforcement actions, fines, damages, adverse media coverage, investigations, severe criminal or civil sanctions, or suspension or debarment from government contracts, all of which may have an adverse effect on our reputation, business, and results of operations. Responding to any investigation or action will likely result in a material diversion of management’s attention and resources and significant defense costs and other professional fees.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Figure is required to comply with laws related to anti-money laundering and counter-terrorist financing.</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are subject to various anti-money laundering and counter-terrorist financing laws, including the BSA in the United States, and similar laws and regulations abroad, which can vary greatly. In the United States, the BSA requires us to, among other things, develop, implement, and maintain a risk-based anti-money laundering program, provide an anti-money laundering-related training program, report suspicious activities and transactions to FinCEN, comply with certain reporting and recordkeeping requirements, and collect and maintain information about our customers. In addition, the BSA requires us to comply with certain customer due diligence requirements as part of our anti-money laundering obligations, including developing risk-based policies, procedures, and internal controls reasonably designed to verify a customer’s identity. Many states and other countries impose similar and, in some cases, more stringent requirements related to anti-money laundering and counter-terrorist financing. Anti-money laundering regulations are constantly evolving and vary from jurisdiction-to-jurisdiction. We strive to continuously monitor our compliance with anti-money laundering and counter-terrorist financing regulations and industry standards and implement policies, procedures, and controls in light of the most current legal requirements. Any violation of applicable anti-money laundering or counter-terrorist financing laws could result in whistleblower complaints, adverse media coverage, investigations, and severe criminal or civil sanctions, any of which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85"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85</w:t>
                      </w:r>
                    </w:p>
                  </w:txbxContent>
                </v:textbox>
                <w10:wrap type="none"/>
              </v:rect>
            </w:pict>
          </mc:Fallback>
        </mc:AlternateContent>
      </w:r>
    </w:p>
    <w:p>
      <w:pPr>
        <w:pStyle w:val="TextBody"/>
        <w:bidi w:val="0"/>
        <w:spacing w:lineRule="auto" w:line="288" w:before="0" w:after="180"/>
        <w:jc w:val="left"/>
        <w:rPr/>
      </w:pPr>
      <w:hyperlink w:anchor="i8e13d1b6f3764394b0e424082d2ac79f_7">
        <w:r>
          <w:rPr>
            <w:rStyle w:val="InternetLink"/>
            <w:rFonts w:ascii="Times New Roman;serif" w:hAnsi="Times New Roman;serif"/>
            <w:b w:val="false"/>
            <w:color w:val="000080"/>
            <w:sz w:val="20"/>
            <w:u w:val="single"/>
          </w:rPr>
          <w:t>Table of Content</w:t>
        </w:r>
      </w:hyperlink>
      <w:hyperlink w:anchor="i8e13d1b6f3764394b0e424082d2ac79f_7">
        <w:r>
          <w:rPr>
            <w:rStyle w:val="InternetLink"/>
            <w:rFonts w:ascii="Times New Roman;serif" w:hAnsi="Times New Roman;serif"/>
            <w:b w:val="false"/>
            <w:color w:val="000080"/>
            <w:sz w:val="20"/>
            <w:u w:val="single"/>
          </w:rPr>
          <w: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could have a materially adverse effect on our reputation, business, financial performance, and results of operations. In addition, responding to any enforcement action may result in a significant diversion of management’s attention and resources and significant defense costs and other professional fees.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Risks Related to the Recombination and Post-Recombination Integration</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Federal and state fraudulent transfer laws and Nevada corporate law may permit a court to void the Recombination, which would adversely affect our financial condition and our results of operations.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connection with the Recombination, we completed several restructuring transactions, which may be subject to challenge under federal and state fraudulent conveyance and transfer laws as well as under Nevada corporate law, even after the Recombination has been completed. Under applicable laws, any transaction, contribution, or distribution contemplated as part of the Recombination could be voided as a fraudulent transfer or conveyance if, among other things, the transferor received less than reasonably equivalent value or fair consideration in return for, and was insolvent or rendered insolvent by reason of, the transfer.</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cannot be certain as to the standards a court would use to determine whether any entity involved in the Recombination was insolvent at the relevant time. In general, however, a court would look at various facts and circumstances related to the entity in question, including evaluation of whether:</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sum of its debts, including contingent and unliquidated liabilities, was greater than the fair market value of all of its assets;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present fair market value of its assets was less than the amount that would be required to pay its probable liability on its existing debts, including contingent liabilities, as they become absolute and mature; or</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it could pay its debts as they become due in the usual course of business.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If a court were to find that any transaction, contribution, or distribution involved in the Recombination was a fraudulent transfer or conveyance, the court could void the transaction, contribution, or distribution. In addition, the distribution could also be voided if a court were to find that it is not a lawful distribution under Nevada corporate law. The resulting complications, costs, and expenses of either finding would materially adversely affect our business, financial condition, and results of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may experience difficulties in reintegrating the operations of FMH back into our business or we may experience challenges in realizing expected benefits of the Recombination.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On August 29, 2025, we recombined with FMH through a series of transactions and FMH became a wholly-owned subsidiary of FTS. The success of the Recombination depends in part on our ability to realize the anticipated business opportunities from recombining the operations of FMH with our business in an efficient and effective manner. The reintegration process could take longer than anticipated and could result in the loss of key employees, the disruption of each company’s ongoing businesses, tax costs or inefficiencies or inconsistencies in standards, controls, IT systems, procedures and policies, any of which could adversely affect our ability to maintain relationships with customers, employees or other third parties, or our ability to achieve the anticipated benefits of the Recombination, and could harm our financial performance. If we are unable to successfully or timely reintegrate the operations of FMH with our business, we may incur unanticipated liabilities and be unable to realize the revenue growth, synergies and other anticipated benefits resulting from the Recombination, and our business, results of operations and financial condition could be materially and adversely affected.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Furthermore, the reintegration of FMH may divert management’s time and resources from our core business and disrupt our operations. We may incur significant costs in the reintegration of FMH and may not achieve cost synergies and other benefits sufficient to offset the costs of the Recombination. Moreover, even if we were successful in reintegrating FMH, expected synergies or cost savings may not materialize, resulting in lower-than-expected benefits to us from the Recombination. We may spend time and money on projects that do not increase our revenue. All of the above risks could have a material adverse effect on our business, prospects, liquidity,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86"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86</w:t>
                      </w:r>
                    </w:p>
                  </w:txbxContent>
                </v:textbox>
                <w10:wrap type="none"/>
              </v:rect>
            </w:pict>
          </mc:Fallback>
        </mc:AlternateContent>
      </w:r>
    </w:p>
    <w:p>
      <w:pPr>
        <w:pStyle w:val="TextBody"/>
        <w:bidi w:val="0"/>
        <w:spacing w:lineRule="auto" w:line="288" w:before="0" w:after="180"/>
        <w:jc w:val="left"/>
        <w:rPr/>
      </w:pPr>
      <w:hyperlink w:anchor="i8e13d1b6f3764394b0e424082d2ac79f_7">
        <w:r>
          <w:rPr>
            <w:rStyle w:val="InternetLink"/>
            <w:rFonts w:ascii="Times New Roman;serif" w:hAnsi="Times New Roman;serif"/>
            <w:b w:val="false"/>
            <w:color w:val="000080"/>
            <w:sz w:val="20"/>
            <w:u w:val="single"/>
          </w:rPr>
          <w:t>Table of Content</w:t>
        </w:r>
      </w:hyperlink>
      <w:hyperlink w:anchor="i8e13d1b6f3764394b0e424082d2ac79f_7">
        <w:r>
          <w:rPr>
            <w:rStyle w:val="InternetLink"/>
            <w:rFonts w:ascii="Times New Roman;serif" w:hAnsi="Times New Roman;serif"/>
            <w:b w:val="false"/>
            <w:color w:val="000080"/>
            <w:sz w:val="20"/>
            <w:u w:val="single"/>
          </w:rPr>
          <w:t>s</w:t>
        </w:r>
      </w:hyperlink>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may be subject to notice and approval requirements that are implicated by the Recombination and with which we may not be able to comply with.</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must comply with requirements to report to, and in some circumstances obtain advance approval from, our regulators for certain changes to our business; for instance, the maintenance of certain state licenses requires the submission of information regarding and the approval of direct or indirect owners, or other control persons, of the licensed entity which, depending on applicable state law, may include, for example, persons with a direct or indirect ownership interest of 10% or more of the outstanding interests or voting power of our Company or a particular entity within our structure. Undergoing a qualifying change in control also may, in certain circumstances, require one or more of our licensed entities to re-apply for a license from a state regulator.</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 failure to provide timely notice of, or obtain prior approval for, certain business changes can raise significant risks in certain jurisdictions, such as suspension or revocation of licenses in such jurisdictions, prevention from engaging in the applicable regulated activity covered by such licenses (including, for example, originating and servicing loans) in such jurisdictions, imposition of administrative fines, penalties, or enforcement actions or civil and/or criminal penalties, and negative impact to our operations and growth prospects. Any of the foregoing consequences could adversely impact our business in such jurisdiction, be reportable to other regulatory authorities or contract counterparties, and negatively impact our business, relationship, eligibility, or standing with such other regulatory authorities or counterparties.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Risks Related to Ownership of Our Securities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The dual-class structure of our common stock concentrates voting control with Michael Cagney, our co-founder and member of our board of directors, which will limit your ability to affect the outcome of key transactions, including a change in control, and it may depress the trading price of our Class A common stock and Blockchain Stock.</w:t>
      </w:r>
    </w:p>
    <w:p>
      <w:pPr>
        <w:pStyle w:val="TextBody"/>
        <w:bidi w:val="0"/>
        <w:spacing w:lineRule="auto" w:line="288" w:before="0" w:after="180"/>
        <w:jc w:val="both"/>
        <w:rPr/>
      </w:pPr>
      <w:r>
        <w:rPr>
          <w:rFonts w:ascii="Times New Roman;serif" w:hAnsi="Times New Roman;serif"/>
          <w:b w:val="false"/>
          <w:color w:val="000000"/>
          <w:sz w:val="20"/>
        </w:rPr>
        <w:t>Our Class B common stock has ten votes per share, our Class A common stock has one vote per share, and our Blockchain Stock has one vote per share. As of December 31, 2025,</w:t>
      </w:r>
      <w:r>
        <w:rPr>
          <w:color w:val="000000"/>
          <w:shd w:fill="FFFFFF" w:val="clear"/>
        </w:rPr>
        <w:t xml:space="preserve"> </w:t>
      </w:r>
      <w:r>
        <w:rPr>
          <w:rFonts w:ascii="Times New Roman;serif" w:hAnsi="Times New Roman;serif"/>
          <w:b w:val="false"/>
          <w:color w:val="000000"/>
          <w:sz w:val="20"/>
          <w:shd w:fill="FFFFFF" w:val="clear"/>
        </w:rPr>
        <w:t xml:space="preserve">Michael Cagney, our co-founder and member of our board of directors, and his permitted transferees, hold </w:t>
      </w:r>
      <w:r>
        <w:rPr>
          <w:rFonts w:ascii="Times New Roman;serif" w:hAnsi="Times New Roman;serif"/>
          <w:b w:val="false"/>
          <w:color w:val="000000"/>
          <w:sz w:val="20"/>
        </w:rPr>
        <w:t>37,893,047</w:t>
      </w:r>
      <w:r>
        <w:rPr>
          <w:color w:val="000000"/>
          <w:shd w:fill="FFFFFF" w:val="clear"/>
        </w:rPr>
        <w:t> </w:t>
      </w:r>
      <w:r>
        <w:rPr>
          <w:rFonts w:ascii="Times New Roman;serif" w:hAnsi="Times New Roman;serif"/>
          <w:b w:val="false"/>
          <w:color w:val="000000"/>
          <w:sz w:val="20"/>
          <w:shd w:fill="FFFFFF" w:val="clear"/>
        </w:rPr>
        <w:t>shares of Class B common stock</w:t>
      </w:r>
      <w:r>
        <w:rPr>
          <w:rFonts w:ascii="Times New Roman;serif" w:hAnsi="Times New Roman;serif"/>
          <w:b w:val="false"/>
          <w:color w:val="000000"/>
          <w:sz w:val="20"/>
        </w:rPr>
        <w:t xml:space="preserve">. Because of the ten-to-one voting ratio between our Class B common stock and our Class A common stock and Blockchain Stock, Mr. Cagney and Ms. Ou and their permitted transferees control </w:t>
      </w:r>
      <w:r>
        <w:rPr>
          <w:rFonts w:ascii="Times New Roman;serif" w:hAnsi="Times New Roman;serif"/>
          <w:b w:val="false"/>
          <w:color w:val="000000"/>
          <w:sz w:val="20"/>
          <w:shd w:fill="FFFFFF" w:val="clear"/>
        </w:rPr>
        <w:t xml:space="preserve">approximately </w:t>
      </w:r>
      <w:r>
        <w:rPr>
          <w:rFonts w:ascii="Times New Roman;serif" w:hAnsi="Times New Roman;serif"/>
          <w:b w:val="false"/>
          <w:color w:val="000000"/>
          <w:sz w:val="20"/>
        </w:rPr>
        <w:t>68% of the combined voting power of our common stock and therefore are able to control all matters submitted to our stockholders for approval. This concentrated control limits or precludes your ability to influence corporate matters for the foreseeable future, including the election of directors, amendments of our organizational documents, and any merger, consolidation, sale of all of our assets or other major corporate transaction requiring stockholder approval. In addition, this may prevent or discourage unsolicited acquisition proposals or offers for our capital stock that you may feel are in your best interest as one of our stockholders.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This control may also adversely affect the market price of our Class A common stock and Blockchain Stock. For example, certain index providers have in the past imposed restrictions on including companies with multiple-class share structures in certain of their indexes. Because of our dual-class structure, we will likely be excluded from certain of these indexes, where applicable, and we cannot assure you that other stock indexes will not take similar actions. Under these policies, our dual-class capital structure would make us ineligible for inclusion in certain indexes, and as a result, mutual funds, exchange-traded funds, and other investment vehicles that attempt to passively track those indexes would not invest in our stock. Given the sustained flow of investment funds into passive strategies that seek to track certain indexes, exclusion from stock indexes would likely preclude investment by many of these funds and could make our Class A common stock and Blockchain Stock less attractive to other investors. As a result, the market price of our Class A common stock and Blockchain Stock could be adversely affected.</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The market price of our Class A common stock may be volatile, which will directly affect the market price for the Blockchain Stock, and you could lose all or part of your investment.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market price of our Class A common stock may be volatile and could be subject to fluctuations in response to various factors, some of which are beyond our control. These fluctuations could cause you to lose all or part of your investment in our Class A common stock since you might be unable to sell your shares at or above the price you paid. Moreover, we cannot assure you that an active trading market for our Class A common stock will be sustained. Factors that could cause fluctuations in the trading price of our Class A common stock include the following:</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price and volume fluctuations in the overall stock market from time to time;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volatility in the trading prices and trading volumes of technology stocks;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87"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87</w:t>
                      </w:r>
                    </w:p>
                  </w:txbxContent>
                </v:textbox>
                <w10:wrap type="none"/>
              </v:rect>
            </w:pict>
          </mc:Fallback>
        </mc:AlternateContent>
      </w:r>
    </w:p>
    <w:p>
      <w:pPr>
        <w:pStyle w:val="TextBody"/>
        <w:bidi w:val="0"/>
        <w:spacing w:lineRule="auto" w:line="288" w:before="0" w:after="180"/>
        <w:jc w:val="left"/>
        <w:rPr/>
      </w:pPr>
      <w:hyperlink w:anchor="i8e13d1b6f3764394b0e424082d2ac79f_7">
        <w:r>
          <w:rPr>
            <w:rStyle w:val="InternetLink"/>
            <w:rFonts w:ascii="Times New Roman;serif" w:hAnsi="Times New Roman;serif"/>
            <w:b w:val="false"/>
            <w:color w:val="000080"/>
            <w:sz w:val="20"/>
            <w:u w:val="single"/>
          </w:rPr>
          <w:t>Table of Content</w:t>
        </w:r>
      </w:hyperlink>
      <w:hyperlink w:anchor="i8e13d1b6f3764394b0e424082d2ac79f_7">
        <w:r>
          <w:rPr>
            <w:rStyle w:val="InternetLink"/>
            <w:rFonts w:ascii="Times New Roman;serif" w:hAnsi="Times New Roman;serif"/>
            <w:b w:val="false"/>
            <w:color w:val="000080"/>
            <w:sz w:val="20"/>
            <w:u w:val="single"/>
          </w:rPr>
          <w:t>s</w:t>
        </w:r>
      </w:hyperlink>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 reduction in the availability of HELOC funding and liquidity from loan purchasers on the secondary market and the capital markets;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volatility in prices of digital assets and volume of transactions conducted on Figure Exchange;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quarterly fluctuations in demand for the loans we facilitate through our platform;</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changes in operating performance and stock market valuations of other technology companies generally, or those in our industry in particular;</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announcements by us or our competitors of new products, features or services;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actual or perceived security breaches or other security incidents;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developments or disputes concerning our intellectual property or other proprietary rights;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announced or completed acquisitions of businesses, services, or technologies by us or our competitors;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any actual or anticipated changes in the financial projections we may provide to the public or our failure to meet those projections;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sales of shares of our Class A common stock by us or our stockholders;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recruitment or departure of key personnel;</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public’s reaction to our press releases, other public announcements, and filings with the SEC;</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rumors and market speculation involving us or other companies in our industry;</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changes in prevailing interest rates and other macroeconomic conditions;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fluctuations in the trading volume of our shares or the size of our public float;</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actual or anticipated changes or fluctuations in our results of operations;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actual or anticipated developments in our business, our competitors’ businesses, or the competitive landscape generally;</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failure of securities analysts to maintain coverage of us, changes in actual or future expectations of investors or securities analysts or our failure to meet these estimates or the expectations of investors;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litigation involving us, our industry or both;</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governmental or regulatory actions or audits;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regulatory or legal developments in the United States and other countries;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general economic conditions and trends;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announcement or expectation of additional financing efforts;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expiration of market stand-off or lock-up agreements;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changes in accounting standards, policies, guidelines, interpretations, or principles.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realization of any of the above risks or any of a broad range of other risks, including those described in this “Risk Factors” section, could have an adverse impact on the market price of our Class A common stock.</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expect that, generally, the market price of our Class A common stock will significantly affect the market price of the Blockchain Stock. This may result in greater volatility in the market price of the Blockchain Stock than would be expected if it were not convertible into Class A common stock. The market price of our Class A common stock could also be affected by possible sales of our Class A common stock by investors who view the Blockchain Stock as a more attractive means of equity participation in us and by hedging or arbitrage trading activity that we expect to develop involving our Class A common stock. This trading activity could, in turn, affect the market price of the Blockchain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88"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88</w:t>
                      </w:r>
                    </w:p>
                  </w:txbxContent>
                </v:textbox>
                <w10:wrap type="none"/>
              </v:rect>
            </w:pict>
          </mc:Fallback>
        </mc:AlternateContent>
      </w:r>
    </w:p>
    <w:p>
      <w:pPr>
        <w:pStyle w:val="TextBody"/>
        <w:bidi w:val="0"/>
        <w:spacing w:lineRule="auto" w:line="288" w:before="0" w:after="180"/>
        <w:jc w:val="left"/>
        <w:rPr/>
      </w:pPr>
      <w:hyperlink w:anchor="i8e13d1b6f3764394b0e424082d2ac79f_7">
        <w:r>
          <w:rPr>
            <w:rStyle w:val="InternetLink"/>
            <w:rFonts w:ascii="Times New Roman;serif" w:hAnsi="Times New Roman;serif"/>
            <w:b w:val="false"/>
            <w:color w:val="000080"/>
            <w:sz w:val="20"/>
            <w:u w:val="single"/>
          </w:rPr>
          <w:t>Table of Content</w:t>
        </w:r>
      </w:hyperlink>
      <w:hyperlink w:anchor="i8e13d1b6f3764394b0e424082d2ac79f_7">
        <w:r>
          <w:rPr>
            <w:rStyle w:val="InternetLink"/>
            <w:rFonts w:ascii="Times New Roman;serif" w:hAnsi="Times New Roman;serif"/>
            <w:b w:val="false"/>
            <w:color w:val="000080"/>
            <w:sz w:val="20"/>
            <w:u w:val="single"/>
          </w:rPr>
          <w: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addition, in the past, following periods of volatility in the overall market and the market price of a particular company’s securities, securities class action litigation has often been instituted. This litigation, if instituted against us, could result in substantial costs and a diversion of our management’s attention and resources.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Our Blockchain Stock is transferable only among wallets that have gone through a KYC and anti-money laundering onboarding process, and there can be no assurance that our Blockchain Stock will become freely transferable in the future.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Blockchain Stock is transferable only among wallets on the Provenance Blockchain that have gone through a KYC and anti-money laundering onboarding process, consistent with applicable U.S. federal and state financial regulatory requirements, which we refer to as “permitted holders.” The Blockchain Stock may be held only on the Provenance Blockchain. We, as well as third party technology providers, offer wallet software that is compatible with the Provenance Blockchain. All Provenance Blockchain wallets offered by Figure are self-custodial wallets, and we do not offer custodial wallets. Nevada law prohibits the issuance of bearer shares, and bearer certificates representing shares, of the capital stock of a Nevada corporation. Further, certain determinations under Nevada law, our second amended and restated articles of incorporation and our amended and restated bylaws necessitate our ability to identify the record holder of our shares, including the Blockchain Stock. Examples of such determinations include proper effectuation and recordation of transfers of shares, ascertaining the relative voting rights, voting power and other rights of our stockholders, and establishing quorum and applying the appropriate voting standards for actions by our stockholders at meetings or by written consent. As a result of these requirements, unlike other digital assets that are not securities, our Blockchain Stock is not freely transferable to record owners that are not permitted holders. Any resolution of these issues would likely require modifications to Nevada law and subsequent modifications to our internal processes, and there can be no assurance that our blockchain stock will become freely transferable in record form outside of permitted holders in the future.</w:t>
      </w:r>
    </w:p>
    <w:p>
      <w:pPr>
        <w:pStyle w:val="TextBody"/>
        <w:bidi w:val="0"/>
        <w:spacing w:lineRule="auto" w:line="288" w:before="0" w:after="180"/>
        <w:jc w:val="both"/>
        <w:rPr/>
      </w:pPr>
      <w:r>
        <w:rPr>
          <w:rFonts w:ascii="Times New Roman;serif" w:hAnsi="Times New Roman;serif"/>
          <w:b w:val="false"/>
          <w:color w:val="000000"/>
          <w:sz w:val="20"/>
        </w:rPr>
        <w:t xml:space="preserve">All transfers of digital assets on the Provenance Blockchain, including transfers of our blockchain stock, require the payment of “gas” fees in units of HASH. We will pay those gas fees on behalf of users for transactions executed through our ATS. Investors transferring our Blockchain Stock in peer-to-peer transactions not involving transactions executed on our ATS will need to acquire and expend HASH to facilitate the transaction. The average gas fee for transactions on Provenance has been less than one HASH since 2018, which is equivalent to approximately $[ </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0"/>
        </w:rPr>
        <w:t>] as of December 31, 2025.</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mechanics of transferring Blockchain Stock, including reliance on self-custodial wallets, the Provenance Blockchain, YLDS and our ATS, are complex and may limit liquidity, increase transaction costs or result in operational errors, which could adversely affect holders of our Blockchain Stock.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quarterly results are likely to fluctuate and as a result may adversely affect the trading price of our Class A common stock and Blockchain Stock.</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quarterly results of operations have historically varied from period to period, and we expect that our results of operations will continue to vary significantly in the future, and period-to-period comparisons of our results of operations may not be meaningful. Accordingly, the results for any one quarter are not necessarily an accurate indication of future performance. Our quarterly financial results may fluctuate due to a variety of factors, many of which are outside of our control. Factors that may cause fluctuations in our quarterly financial results include: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general economic conditions, including economic slowdowns, recessions, interest rate changes, inflation, and the tightening of credit markets;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ability to attract and retain partners in a cost-effective manner;</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cost of borrowing money and access to loan funding sources;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ability to attract new partners and loan purchasers of our loan funding programs;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ability to maintain relationships with existing partners and loan purchasers of our loan funding programs;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ability to maintain or increase loan volumes, and the channels through which the loans, partners and loan funding are sourced;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ability to maintain effective relationships with market affiliates or drive volume from other marketing sources from which prospective customers access our website;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changes in financial services firms’ behavior with respect to blockchain technology;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89"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89</w:t>
                      </w:r>
                    </w:p>
                  </w:txbxContent>
                </v:textbox>
                <w10:wrap type="none"/>
              </v:rect>
            </w:pict>
          </mc:Fallback>
        </mc:AlternateContent>
      </w:r>
    </w:p>
    <w:p>
      <w:pPr>
        <w:pStyle w:val="TextBody"/>
        <w:bidi w:val="0"/>
        <w:spacing w:lineRule="auto" w:line="288" w:before="0" w:after="180"/>
        <w:jc w:val="left"/>
        <w:rPr/>
      </w:pPr>
      <w:hyperlink w:anchor="i8e13d1b6f3764394b0e424082d2ac79f_7">
        <w:r>
          <w:rPr>
            <w:rStyle w:val="InternetLink"/>
            <w:rFonts w:ascii="Times New Roman;serif" w:hAnsi="Times New Roman;serif"/>
            <w:b w:val="false"/>
            <w:color w:val="000080"/>
            <w:sz w:val="20"/>
            <w:u w:val="single"/>
          </w:rPr>
          <w:t>Table of Content</w:t>
        </w:r>
      </w:hyperlink>
      <w:hyperlink w:anchor="i8e13d1b6f3764394b0e424082d2ac79f_7">
        <w:r>
          <w:rPr>
            <w:rStyle w:val="InternetLink"/>
            <w:rFonts w:ascii="Times New Roman;serif" w:hAnsi="Times New Roman;serif"/>
            <w:b w:val="false"/>
            <w:color w:val="000080"/>
            <w:sz w:val="20"/>
            <w:u w:val="single"/>
          </w:rPr>
          <w:t>s</w:t>
        </w:r>
      </w:hyperlink>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ability to identify and prevent fraudulent activity and the impact of fraud prevention measures;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changes in the fair value of assets and liabilities on our balance sheet;</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timing and success of new products and services;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effectiveness of our direct marketing and other marketing channels;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amount and timing of operating expenses related to maintaining and expanding our business, operations, and infrastructure, including acquiring new and maintaining existing partners and loan purchasers on the secondary market and attracting customers to our platform;</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number and extent of prepayments of loans facilitated on our platform;</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network outages or actual or perceived security breaches or incidents;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involvement in litigation or regulatory enforcement efforts (or the threat thereof) or those that impact our industry generally;</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length of the onboarding process related to acquisitions of new partners;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changes in laws and regulations that impact our business;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ability to protect, maintain and enforce our intellectual property;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changes in the competitive dynamics of our industry, including consolidation among competitors or the development of competitive products by larger, well-funded incumbents.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If securities or industry analysts publish inaccurate or unfavorable research about us, our business, or our market, or if they adversely change their recommendations regarding our Class A common stock, the trading price or trading volume of our Class A common stock and Blockchain Stock could decline.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trading market for our Class A common stock and Blockchain Stock is influenced in part by the research and reports that securities or industry analysts may publish about us, our business, our market, or our competitors. If one or more securities analysts initiate research with an unfavorable rating or downgrade our Class A common stock, provide a more favorable recommendation about our competitors, or publish inaccurate or unfavorable research about our business, the price of our Class A common stock and Blockchain Stock would likely decline. If one or more securities analysts cease coverage of us or fail to publish reports on us regularly, we could lose visibility in the financial markets and demand for our securities could decrease, which in turn could cause the price and trading volume of our Class A common stock and Blockchain Stock to decline.</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are an “emerging growth company,” and we cannot be certain if the reduced disclosure requirements applicable to emerging growth companies will make our Class A common stock and Blockchain Stock less attractive to investors.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are an “emerging growth company,” as defined in the JOBS Act, and have the option to utilize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We may take advantage of these reporting exemptions until we are no longer an emerging growth company. We will remain an emerging growth company until the earlier of: (i) the last day of the fiscal year in which we have at least $1.235 billion in annual revenue; (ii) the date we qualify as a “large accelerated filer,” with at least $700.0 million of equity securities held by non-affiliates as of the last business day of our most recently completed second fiscal quarter; (iii) the date on which we have issued more than $1.0 billion in non-convertible debt securities during the prior three-year period; and (iv) the last day of the fiscal year ending after the fifth anniversary of our initial public offering.</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Under the JOBS Act, emerging growth companies can also delay adopting new or revised accounting standards until such time as those standards apply to private companies. We intend to use this extended transition period for complying with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 As a result, our financial statements may not be comparable to companies that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0"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90</w:t>
                      </w:r>
                    </w:p>
                  </w:txbxContent>
                </v:textbox>
                <w10:wrap type="none"/>
              </v:rect>
            </w:pict>
          </mc:Fallback>
        </mc:AlternateContent>
      </w:r>
    </w:p>
    <w:p>
      <w:pPr>
        <w:pStyle w:val="TextBody"/>
        <w:bidi w:val="0"/>
        <w:spacing w:lineRule="auto" w:line="288" w:before="0" w:after="180"/>
        <w:jc w:val="left"/>
        <w:rPr/>
      </w:pPr>
      <w:hyperlink w:anchor="i8e13d1b6f3764394b0e424082d2ac79f_7">
        <w:r>
          <w:rPr>
            <w:rStyle w:val="InternetLink"/>
            <w:rFonts w:ascii="Times New Roman;serif" w:hAnsi="Times New Roman;serif"/>
            <w:b w:val="false"/>
            <w:color w:val="000080"/>
            <w:sz w:val="20"/>
            <w:u w:val="single"/>
          </w:rPr>
          <w:t>Table of Content</w:t>
        </w:r>
      </w:hyperlink>
      <w:hyperlink w:anchor="i8e13d1b6f3764394b0e424082d2ac79f_7">
        <w:r>
          <w:rPr>
            <w:rStyle w:val="InternetLink"/>
            <w:rFonts w:ascii="Times New Roman;serif" w:hAnsi="Times New Roman;serif"/>
            <w:b w:val="false"/>
            <w:color w:val="000080"/>
            <w:sz w:val="20"/>
            <w:u w:val="single"/>
          </w:rPr>
          <w: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comply with new or revised accounting pronouncements as of public company effective dates. While we have not made such an irrevocable election, we have not delayed the adoption of any applicable accounting standards. Further, we may take advantage of some of the other reduced regulatory and reporting requirements that will be available to us so long as we qualify as an emerging growth company.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Among other things, our reliance on the extended transition period means that our independent registered public accounting firm will not be required to provide an attestation report on the effectiveness of our internal control over financial reporting so long as we qualify as an emerging growth company, which may increase the risk that weaknesses or deficiencies in our internal control over financial reporting go undetected. Likewise, so long as we qualify as an emerging growth company, we may elect to not provide you with certain information, including certain financial information and certain information regarding the compensation of our executive officers, that we would otherwise be required to provide in filings we make with the SEC, which may make it more difficult for investors, and securities analysts to evaluate our Company. As a result, investor confidence in our Company and the market price of our Class A common stock and Blockchain Stock could be adversely affected. Further, we cannot predict if investors will find our Class A common stock and Blockchain Stock less attractive if we rely on these exemptions. If some investors find our Class A common stock and Blockchain Stock less attractive as a result, there may be less-active trading markets for our Class A common stock and Blockchain Stock and our stock prices may be more volatile.</w:t>
      </w:r>
    </w:p>
    <w:p>
      <w:pPr>
        <w:pStyle w:val="TextBody"/>
        <w:bidi w:val="0"/>
        <w:spacing w:lineRule="auto" w:line="288" w:before="0" w:after="180"/>
        <w:jc w:val="left"/>
        <w:rPr/>
      </w:pPr>
      <w:r>
        <w:rPr>
          <w:rFonts w:ascii="Times New Roman;serif" w:hAnsi="Times New Roman;serif"/>
          <w:b/>
          <w:i/>
          <w:color w:val="000000"/>
          <w:sz w:val="20"/>
        </w:rPr>
        <w:t>We have elected to take advantage of the “controlled company” exemption to the corporate governance rules for NASDAQ-listed companies, which could make our Class A common stock and Blockchain Stock</w:t>
      </w:r>
      <w:r>
        <w:rPr>
          <w:color w:val="000000"/>
        </w:rPr>
        <w:t xml:space="preserve"> </w:t>
      </w:r>
      <w:r>
        <w:rPr>
          <w:rFonts w:ascii="Times New Roman;serif" w:hAnsi="Times New Roman;serif"/>
          <w:b/>
          <w:i/>
          <w:color w:val="000000"/>
          <w:sz w:val="20"/>
        </w:rPr>
        <w:t>less attractive to some investors or otherwise adversely affect the stock price of our Class A common stock and Blockchain Stock.</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long as Mr. Cagney continues to control a majority of the voting power of our outstanding voting stock, we will be a controlled company within the meaning of the listing rules of NASDAQ. Because we qualify as a “controlled company,” we are not required to have a majority of our board of directors be independent, nor are we required to have a compensation committee or an independent nominating function. In light of our status as a controlled company, in the future we could elect not to have a majority of our board of directors be independent or not to have a compensation committee or nominating and corporate governance committee. Accordingly, should the interests of our management and Mr. Cagney differ from those of other stockholders, the other stockholders may not have the same protections afforded to stockholders of companies that are subject to all of the corporate governance rules for NASDAQ-listed companies. Our status as a controlled company could make our Class A common stock and Blockchain Stock less attractive to some investors or otherwise adversely affect the stock price of our Class A common stock and Blockchain Stock.</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Future sales of our common stock or Blockchain Stock, or the perception in the public markets that these sales may occur, may depress the price of our Class A common stock or Blockchain Stock.</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Sales of a substantial number of shares of our common stock or Blockchain Stock in the public market, or the perception that such sales may occur, could have an adverse effect on the price of our common stock and Blockchain Stock and could impair our ability to raise capital through the sale of additional stock. In the future, we may attempt to obtain financing or to further increase our capital resources by issuing additional shares of our common stock or Blockchain Stock. Issuing additional shares of our Class A common stock, Class B common stock, Blockchain Stock or other equity securities or securities convertible into equity may dilute the economic and voting rights of our existing stockholders or reduce the market price of our Class A common stock, Blockchain Stock or both.</w:t>
      </w:r>
    </w:p>
    <w:p>
      <w:pPr>
        <w:pStyle w:val="TextBody"/>
        <w:bidi w:val="0"/>
        <w:spacing w:lineRule="auto" w:line="288" w:before="0" w:after="180"/>
        <w:jc w:val="both"/>
        <w:rPr/>
      </w:pPr>
      <w:r>
        <w:rPr>
          <w:rFonts w:ascii="Times New Roman;serif" w:hAnsi="Times New Roman;serif"/>
          <w:b w:val="false"/>
          <w:color w:val="000000"/>
          <w:sz w:val="20"/>
        </w:rPr>
        <w:t>As of December 31, 2025, we have 178,485,407 shares of our Class A common stock and 37,893,047 shares of our Class B common stock outstanding. All of the Class B common stock outstanding are considered “restricted securities,” as that ter</w:t>
      </w:r>
      <w:r>
        <w:rPr>
          <w:rFonts w:ascii="Times New Roman;serif" w:hAnsi="Times New Roman;serif"/>
          <w:b w:val="false"/>
          <w:color w:val="000000"/>
          <w:sz w:val="20"/>
          <w:shd w:fill="FFFFFF" w:val="clear"/>
        </w:rPr>
        <w:t xml:space="preserve">m is defined under Rule 144 of the </w:t>
      </w:r>
      <w:r>
        <w:rPr>
          <w:rFonts w:ascii="Times New Roman;serif" w:hAnsi="Times New Roman;serif"/>
          <w:b w:val="false"/>
          <w:color w:val="000000"/>
          <w:sz w:val="20"/>
        </w:rPr>
        <w:t>Securities Act</w:t>
      </w:r>
      <w:r>
        <w:rPr>
          <w:rFonts w:ascii="Times New Roman;serif" w:hAnsi="Times New Roman;serif"/>
          <w:b w:val="false"/>
          <w:color w:val="000000"/>
          <w:sz w:val="20"/>
          <w:shd w:fill="FFFFFF" w:val="clear"/>
        </w:rPr>
        <w:t xml:space="preserve">. Of the </w:t>
      </w:r>
      <w:r>
        <w:rPr>
          <w:rFonts w:ascii="Times New Roman;serif" w:hAnsi="Times New Roman;serif"/>
          <w:b w:val="false"/>
          <w:color w:val="000000"/>
          <w:sz w:val="20"/>
        </w:rPr>
        <w:t>178,485,407</w:t>
      </w:r>
      <w:r>
        <w:rPr>
          <w:color w:val="000000"/>
          <w:shd w:fill="FFFFFF" w:val="clear"/>
        </w:rPr>
        <w:t xml:space="preserve"> </w:t>
      </w:r>
      <w:r>
        <w:rPr>
          <w:rFonts w:ascii="Times New Roman;serif" w:hAnsi="Times New Roman;serif"/>
          <w:b w:val="false"/>
          <w:color w:val="000000"/>
          <w:sz w:val="20"/>
          <w:shd w:fill="FFFFFF" w:val="clear"/>
        </w:rPr>
        <w:t xml:space="preserve">shares of Class A common stock outstanding, </w:t>
      </w:r>
      <w:r>
        <w:rPr>
          <w:rFonts w:ascii="Times New Roman;serif" w:hAnsi="Times New Roman;serif"/>
          <w:b w:val="false"/>
          <w:color w:val="000000"/>
          <w:sz w:val="20"/>
        </w:rPr>
        <w:t>131,640,635</w:t>
      </w:r>
      <w:r>
        <w:rPr>
          <w:color w:val="000000"/>
          <w:shd w:fill="FFFFFF" w:val="clear"/>
        </w:rPr>
        <w:t xml:space="preserve"> </w:t>
      </w:r>
      <w:r>
        <w:rPr>
          <w:rFonts w:ascii="Times New Roman;serif" w:hAnsi="Times New Roman;serif"/>
          <w:b w:val="false"/>
          <w:color w:val="000000"/>
          <w:sz w:val="20"/>
        </w:rPr>
        <w:t xml:space="preserve">are “restricted securities,” as that term is defined under Rule 144 of the Securities Act. The holders of these “restricted securities” are entitled to dispose of their shares pursuant to (i) the applicable holding period, volume, and other restrictions of Rule 144 or (ii) another exemption from registration under the Securities Act. Additional sales of a substantial number of our shares of Class A common stock in the public market, or the perception that sales could occur, could have a material adverse effect on the price of our Class A common stock. On August 29, 2025, in connection with the Recombination, we entered into the Investors’ Rights Agreement (as defined herein), pursuant to which certain holders of our common stock are entitled to demand the registration of certain or all of their common stock that such persons beneficially own.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1"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91</w:t>
                      </w:r>
                    </w:p>
                  </w:txbxContent>
                </v:textbox>
                <w10:wrap type="none"/>
              </v:rect>
            </w:pict>
          </mc:Fallback>
        </mc:AlternateContent>
      </w:r>
    </w:p>
    <w:p>
      <w:pPr>
        <w:pStyle w:val="TextBody"/>
        <w:bidi w:val="0"/>
        <w:spacing w:lineRule="auto" w:line="288" w:before="0" w:after="180"/>
        <w:jc w:val="left"/>
        <w:rPr/>
      </w:pPr>
      <w:hyperlink w:anchor="i8e13d1b6f3764394b0e424082d2ac79f_7">
        <w:r>
          <w:rPr>
            <w:rStyle w:val="InternetLink"/>
            <w:rFonts w:ascii="Times New Roman;serif" w:hAnsi="Times New Roman;serif"/>
            <w:b w:val="false"/>
            <w:color w:val="000080"/>
            <w:sz w:val="20"/>
            <w:u w:val="single"/>
          </w:rPr>
          <w:t>Table of Content</w:t>
        </w:r>
      </w:hyperlink>
      <w:hyperlink w:anchor="i8e13d1b6f3764394b0e424082d2ac79f_7">
        <w:r>
          <w:rPr>
            <w:rStyle w:val="InternetLink"/>
            <w:rFonts w:ascii="Times New Roman;serif" w:hAnsi="Times New Roman;serif"/>
            <w:b w:val="false"/>
            <w:color w:val="000080"/>
            <w:sz w:val="20"/>
            <w:u w:val="single"/>
          </w:rPr>
          <w:t>s</w:t>
        </w:r>
      </w:hyperlink>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do not intend to pay cash dividends on our common stock or Blockchain Stock for the foreseeable future.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currently intend to retain our future earnings, if any, to finance the further development and expansion of our business and do not intend to pay cash dividends on our common stock or Blockchain Stock in the foreseeable future. Any future determination to pay dividends on our common stock or Blockchain Stock will be at the discretion of our board of directors and will depend on obtaining regulatory approvals, if required, our financial condition, results of operations, capital requirements, restrictions contained in future agreements and financing instruments, business prospects and such other factors as our board of directors deems relevant.</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second amended and restated articles of incorporation and amended and restated bylaws designate a state or federal court located within the State of Nevada as the exclusive forum for substantially all disputes between us and our stockholders, and also provide that the federal district courts will be the exclusive forum for resolving any complaint asserting a cause of action arising under the Securities Act, each of which could limit our stockholders’ ability to choose the judicial forum for disputes with us or our directors, officers, stockholders or employees.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articles of incorporation and bylaws provide that, to the fullest extent permitted by law, and unless we consent in writing to the selection of an alternative forum, the Eighth Judicial District Court of Clark County, Nevada, is the sole and exclusive forum for any actions, suits or proceedings, whether civil, administrative or investigative, including: (i) any derivative action or proceeding brought on our behalf; (ii) any action asserting a claim of breach of a fiduciary duty owed by any of our directors, stockholders, officers or other employees to us or our stockholders; (iii) any action arising pursuant to any provision of Nevada Revised Statutes (“NRS”) Chapters 78 or 92A or any provision of our articles of incorporation or bylaws; (iv) to interpret, apply, enforce or determine the validity of our articles of incorporation and bylaws; or (v) asserting a claim governed by the internal affairs doctrine; provided that the exclusive forum provisions will not apply to suits brought to enforce any liability or duty created by the Securities Act or the Exchange Act, or to any claim for which the federal courts have exclusive jurisdiction. Our articles of incorporation and bylaws further provide that, in the event that the Eighth Judicial District Court of Clark County, Nevada does not have jurisdiction over any such action, suit or proceeding, then any other state district court located in the State of Nevada will be the sole and exclusive forum therefor and in the event that no state district court in the State of Nevada has jurisdiction over any such action, suit or proceeding, then a federal court located within the State of Nevada will be the sole and exclusive forum therefor.</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Section 22 of the Securities Act establishes concurrent jurisdiction for federal and state courts over Securities Act claims. Accordingly, both state and federal courts have jurisdiction to hear such claims. To prevent having to litigate claims in multiple jurisdictions and the threat of inconsistent or contrary rulings by different courts, among other considerations, our bylaws also provide that, unless we consent in writing to the selection of an alternative forum, the federal district courts of the United States are the sole and exclusive forum for resolving any complaint asserting a cause of action arising under the Securities Act.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Any person or entity purchasing or otherwise acquiring, holding, or owning (or continuing to hold or own) any interest in any of our securities shall be deemed to have notice of and consented to the foregoing bylaw provisions. Although we believe these exclusive forum provisions benefit us by providing increased consistency in the application of Nevada law and federal securities laws in the types of lawsuits to which each applies, the exclusive forum provisions may limit a stockholder’s ability to bring a claim in a judicial forum of its choosing for disputes with us or our current or former directors, officers, stockholders or other employees, which may discourage such lawsuits against us or our current or former directors, officers, stockholders or other employees. Our stockholders will not be deemed to have waived our compliance with the federal securities laws and the rules and regulations promulgated thereunder as a result of our exclusive forum provisions.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Although NRS 78.046 permits the articles of incorporation or bylaws of a Nevada corporation to require, to the extent not inconsistent with any applicable jurisdictional requirements and the laws of the United States, that any, all or certain actions must be brought solely or exclusively in a specified court, it is possible that a court of law could rule that this provision is inapplicable or unenforceable if it is challenged in a proceeding or otherwise. If a court were to find either exclusive forum provision contained in our second amended and restated articles of incorporation or amended and restated bylaws to be inapplicable or unenforceable in an action, we may incur significant additional costs associated with resolving such action in other jurisdictions, all of which could harm our business,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2"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92</w:t>
                      </w:r>
                    </w:p>
                  </w:txbxContent>
                </v:textbox>
                <w10:wrap type="none"/>
              </v:rect>
            </w:pict>
          </mc:Fallback>
        </mc:AlternateContent>
      </w:r>
    </w:p>
    <w:p>
      <w:pPr>
        <w:pStyle w:val="TextBody"/>
        <w:bidi w:val="0"/>
        <w:spacing w:lineRule="auto" w:line="288" w:before="0" w:after="180"/>
        <w:jc w:val="left"/>
        <w:rPr/>
      </w:pPr>
      <w:hyperlink w:anchor="i8e13d1b6f3764394b0e424082d2ac79f_7">
        <w:r>
          <w:rPr>
            <w:rStyle w:val="InternetLink"/>
            <w:rFonts w:ascii="Times New Roman;serif" w:hAnsi="Times New Roman;serif"/>
            <w:b w:val="false"/>
            <w:color w:val="000080"/>
            <w:sz w:val="20"/>
            <w:u w:val="single"/>
          </w:rPr>
          <w:t>Table of Content</w:t>
        </w:r>
      </w:hyperlink>
      <w:hyperlink w:anchor="i8e13d1b6f3764394b0e424082d2ac79f_7">
        <w:r>
          <w:rPr>
            <w:rStyle w:val="InternetLink"/>
            <w:rFonts w:ascii="Times New Roman;serif" w:hAnsi="Times New Roman;serif"/>
            <w:b w:val="false"/>
            <w:color w:val="000080"/>
            <w:sz w:val="20"/>
            <w:u w:val="single"/>
          </w:rPr>
          <w:t>s</w:t>
        </w:r>
      </w:hyperlink>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Nevada law and provisions in our second amended and restated articles of incorporation and bylaws might delay, discourage, or prevent a change of control of our Company or changes in our management, thereby depressing the market price of our Class A common stock and Blockchain Stock.</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status as a Nevada corporation and the anti-takeover provisions of the NRS may discourage, delay or prevent a change of control by prohibiting us from engaging in a business combination with an interested stockholder for a period of two years after the date of the transaction in which the person became an interested stockholder, even if a change of control would be beneficial to our existing stockholders. In addition, our second amended and restated articles of incorporation and bylaws contain provisions that may make the acquisition of our Company more difficult or delay or prevent a change of control or changes in our management. Among other things, these provisions: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establish a dual-class common stock structure, with differing voting rights;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authorize our board of directors to issue shares of preferred stock or blockchain common stock and determine the price and other terms of those shares, including preferences and voting rights, without stockholder approval;</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from and after such time as Mr. Cagney, our co-founder and member of our board of directors, no longer beneficially owns more than 50% of the voting power of our capital stock, permit only the board of directors to establish the number of directors and fill vacancies on the board;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from and after such time as Mr. Cagney, our co-founder and member of our board of directors, no longer beneficially owns more than 50% of the voting power of our capital stock, establish that our board of directors will be divided into three classes, with the classes as nearly equal in number as possible and each class serving three-year staggered terms;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provide that our directors may only be removed for cause;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from and after such time as Mr. Cagney, our co-founder and member of our board of directors, no longer beneficially owns more than 50% of the voting power of our capital stock, permit stockholders to only take actions at a duly called annual or special meeting and not by written consent;</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require that stockholders give advance notice to nominate directors or submit proposals for consideration at stockholder meetings;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not elect to have cumulative voting in the election of directors;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from and after such time as Mr. Cagney, our co-founder and member of our board of directors, no longer beneficially owns more than 50% of the voting power of our capital stock, prohibit stockholders from calling a special meeting of stockholders;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from and after such time as Mr. Cagney, our co-founder and member of our board of directors, no longer beneficially owns more than 50% of the voting power of our capital stock, require a super-majority vote of stockholders to amend some of the provisions described above.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These provisions, alone or together, could delay, discourage, or prevent a transaction involving a change in control of our Company. These provisions could also discourage proxy contests, make it more difficult for stockholders to elect directors of their choosing and cause us to take other corporate actions they desire, any of which, under certain circumstances, could limit the opportunity for our stockholders to receive a premium for their shares of our Class A common stock, and could also affect the price that some investors are willing to pay for our Class A common stock.</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A change of control of our Company could result in an assignment of our investment advisory agreements and the termination of the investment management agreement in place with FCC.</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Under the Advisers Act, each of the investment advisory agreements for the private funds we manage must provide that it may not be assigned without the consent of the particular fund or other client, and each investment advisory agreement in place between FIA and any registered investment companies we manage will automatically terminate upon an assignment thereof by FIA. An assignment occurs for purposes of the Advisers Act if, among other things, the current control parties transfer a controlling stake or a third party otherwise acquires a controlling stake in the investment adviser. For example, if a third party acquired a sufficient number of shares to be able, alone or with others, to control the appointment of directors and other matters submitted to our stockholders for a vote, there could be deemed an indirect change of control of FIA, and thus an assignment (within the meaning of the Advisers Act) of the investment advisory agreements for the private funds we manage and automatic termination of the investment management agreement with FCC. If such an assignment occurs,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3"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93</w:t>
                      </w:r>
                    </w:p>
                  </w:txbxContent>
                </v:textbox>
                <w10:wrap type="none"/>
              </v:rect>
            </w:pict>
          </mc:Fallback>
        </mc:AlternateContent>
      </w:r>
    </w:p>
    <w:p>
      <w:pPr>
        <w:pStyle w:val="TextBody"/>
        <w:bidi w:val="0"/>
        <w:spacing w:lineRule="auto" w:line="288" w:before="0" w:after="180"/>
        <w:jc w:val="left"/>
        <w:rPr/>
      </w:pPr>
      <w:hyperlink w:anchor="i8e13d1b6f3764394b0e424082d2ac79f_7">
        <w:r>
          <w:rPr>
            <w:rStyle w:val="InternetLink"/>
            <w:rFonts w:ascii="Times New Roman;serif" w:hAnsi="Times New Roman;serif"/>
            <w:b w:val="false"/>
            <w:color w:val="000080"/>
            <w:sz w:val="20"/>
            <w:u w:val="single"/>
          </w:rPr>
          <w:t>Table of Content</w:t>
        </w:r>
      </w:hyperlink>
      <w:hyperlink w:anchor="i8e13d1b6f3764394b0e424082d2ac79f_7">
        <w:r>
          <w:rPr>
            <w:rStyle w:val="InternetLink"/>
            <w:rFonts w:ascii="Times New Roman;serif" w:hAnsi="Times New Roman;serif"/>
            <w:b w:val="false"/>
            <w:color w:val="000080"/>
            <w:sz w:val="20"/>
            <w:u w:val="single"/>
          </w:rPr>
          <w: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cannot be certain that we will be able to obtain the necessary consents from our private funds or enter into a new agreement with our registered funds, which could cause us to lose the management fees and performance fees we earn from such funds.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You may be diluted by the future issuance of additional common stock and Blockchain Stock in connection with our equity incentive plans, acquisitions or otherwise.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of December 31, 2025, under Nevada law and our second amended and restated articles of incorporation, our board of directors have the authority to issue up to 821,514,593 shares of authorized but unissued Class A common stock and 162,106,953 shares of authorized but unissued Class B common stock, and 500,000,000 shares of authorized but unissued Blockchain Stock, as well as rights relating to such common stock, for the consideration and on the terms and conditions established by our board of directors in its sole discretion, whether in connection with acquisitions or otherwise. We have reserved 22,985,926 shares of Class A and Class B common stock for issuance under our 2025 Plan subject to adjustment in certain events. Any additional common stock or Blockchain Stock that we issue, including under our 2025 Plan or other equity incentive plans that we may adopt in the future, could dilute the percentage ownership held by the investors in our Class A common stock and Blockchain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An active trading market for the Blockchain Stock does not exist and may not develop.</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Blockchain Stock is a new issue of securities with no established trading market. The liquidity of the trading market in the Blockchain Stock and the market price for the Blockchain Stock may be adversely affected by changes in the overall market for our Class A common stock and by changes in our financial performance or prospects. The Blockchain Stock (but not our Class A common stock) will be eligible for trading on our ATS upon the completion of this offering and any purchasers of the Blockchain Stock on our ATS will be required to pay for the Blockchain Stock using YLDS. Our ATS does not guarantee that a trading market for the Blockchain Stock will develop or, if a trading market for the Blockchain Stock does develop, the depth or liquidity of that market or the ability of holders to sell the Blockchain Stock, or to sell the Blockchain Stock at a favorable price. Our ATS has had limited trading activity to date, and has only facilitated trading in a small number of securities. Although we anticipate that certain market makers will provide liquidity in the Blockchain Stock on our ATS, they are not required to do so and there can be no assurance that they will or will continue to provide liquidity for any period of time. In addition, if shares of Blockchain Stock are converted to Class A common stock, the liquidity of the Blockchain Stock that remains outstanding will decrease.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addition, we anticipate that Blockchain Stock will be offered for sale to retail investors through certain online brokerage platforms. Retail investors would purchase Blockchain Stock through such online brokerage platforms in exchange for fiat U.S. dollars. These platforms are not affiliated with us. There may be risks associated with the use of these platforms that we cannot foresee, including risks related to the technology and operation of the platforms, and the publicity and the use of social media by users of the platforms that we cannot control. We are not currently able to determine the number of shares of Blockchain Stock that will ultimately be offered or sold to retail investors through such platforms. Accordingly, the number of shares offered to retail investors could be significant or limited, and may differ materially from our current expectations.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The trading price of the Blockchain Stock on our ATS may differ materially from the trading price of our Class A common stock on the NASDAQ, and there can be no assurance that there will be price parity.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shares of Blockchain Stock, but not shares of our Class A common stock, will be available for trading on our ATS upon the completion of this offering, and the Blockchain Stock will not be listed for trading on the NASDAQ or any other national securities exchange. Because the rights and privileges of the Blockchain Stock are similar to our Class A common stock that is listed on the NASDAQ, except with respect to certain voting rights, and the Blockchain Stock are convertible into Class A common stock on a one-for-one basis, we anticipate that the trading price of the Blockchain Stock on our ATS will be substantially similar to the trading price of our Class A common stock. However, the trading price of the Blockchain Stock on our ATS may differ materially from the trading price of our Class A common stock due to a variety of factors, including but not limited to, the availability of market makers on our ATS, the actual or perceived benefits of and risks associated with holding an equity interest in our Company through Blockchain Stock rather than Class A common stock (and vice versa), the operational steps necessary to convert shares of Blockchain Stock into shares of our Class A common stock, and the actual or perceived liquidity of the Blockchain Stock relative to the Class A common stock, particularly during times outside of NASDAQ market trading hours.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4"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94</w:t>
                      </w:r>
                    </w:p>
                  </w:txbxContent>
                </v:textbox>
                <w10:wrap type="none"/>
              </v:rect>
            </w:pict>
          </mc:Fallback>
        </mc:AlternateContent>
      </w:r>
    </w:p>
    <w:p>
      <w:pPr>
        <w:pStyle w:val="TextBody"/>
        <w:bidi w:val="0"/>
        <w:spacing w:lineRule="auto" w:line="288" w:before="0" w:after="180"/>
        <w:jc w:val="left"/>
        <w:rPr/>
      </w:pPr>
      <w:hyperlink w:anchor="i8e13d1b6f3764394b0e424082d2ac79f_7">
        <w:r>
          <w:rPr>
            <w:rStyle w:val="InternetLink"/>
            <w:rFonts w:ascii="Times New Roman;serif" w:hAnsi="Times New Roman;serif"/>
            <w:b w:val="false"/>
            <w:color w:val="000080"/>
            <w:sz w:val="20"/>
            <w:u w:val="single"/>
          </w:rPr>
          <w:t>Table of Content</w:t>
        </w:r>
      </w:hyperlink>
      <w:hyperlink w:anchor="i8e13d1b6f3764394b0e424082d2ac79f_7">
        <w:r>
          <w:rPr>
            <w:rStyle w:val="InternetLink"/>
            <w:rFonts w:ascii="Times New Roman;serif" w:hAnsi="Times New Roman;serif"/>
            <w:b w:val="false"/>
            <w:color w:val="000080"/>
            <w:sz w:val="20"/>
            <w:u w:val="single"/>
          </w:rPr>
          <w: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Additionally, the shares of Blockchain Stock will initially be available for trading on our ATS on the same dates and during the same market trading hours as our Class A common stock, as published by the NASDAQ. However, our ATS has the ability to permit continuous trading at all times without the restriction of pre-determined market trading hours. There can be no assurance that we will continue to limit the market trading hours of the Blockchain Stock on our ATS to those of the NASDAQ, and we may choose in our sole discretion to permit continuous trading of the Blockchain Stock at any time. If the Blockchain Stock were permitted to trade on our ATS outside of NASDAQ market trading hours, the trading price of the Blockchain Stock could differ materially from the trading price of our Class A common stock.</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Holders of Blockchain Stock may experience settlement delays when converting to and selling shares of Class A common stock.</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Under Rule 15c6-1 of the Exchange Act, purchases of sales of securities effected through a broker-dealer are generally required to settle within one U.S. business day (T+1), unless the parties to any such transaction expressly agree otherwise. Holders of Blockchain Stock that wish to convert their Blockchain Stock to shares of Class A common stock and then sell the shares of Class A common stock in the traditional market will be required, before effecting delivery, to complete multiple steps and rely on third-party intermediaries, which may take additional time beyond the customary one business day settlement cycle applicable to equity securities.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a result, holders of Blockchain Stock that wish to convert to and sell shares of Class A common stock in the traditional market may experience settlement delays when attempting to sell their shares, which could reduce their ability to trade efficiently, expose them to market risk during the conversion and settlement period, or cause them to incur additional costs. In addition, if holders are unable to complete settlement in a timely manner, they could be subject to penalties or claims from counterparties or intermediaries, and the liquidity and marketability of the Blockchain Stock could be materially and adversely affected.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Accordingly, holders of Blockchain Stock that wish to sell their shares in a transaction through a broker-dealer that will settle in Class A common stock may be required, because of the length of time it may take to convert such Blockchain Stock into Class A common stock, to specify an alternate settlement cycle at the time of any such sale to prevent a failed settlement, with such attendant risks as becoming subject to buy-ins, market loss liability or other penalties for having failed to deliver on time. Any such seller of underlying Class A common stock should consult their own legal and financial advisors.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Regulatory actions may adversely affect the trading price and liquidity of the Blockchain Stock.</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Investors in, and potential purchasers of, the Blockchain Stock who employ, or seek to employ, a convertible arbitrage strategy with respect to the Blockchain Stock may be adversely impacted by regulatory developments that may limit or restrict such a strategy. The SEC and other regulatory and self-regulatory authorities have implemented various rules and may adopt additional rules in the future that restrict and otherwise regulate short selling, which restrictions and regulations may adversely affect the ability of investors in, or potential purchasers of, the Blockchain Stock to conduct a convertible arbitrage strategy with respect to the Blockchain Stock. This could, in turn, adversely affect the trading price and liquidity of the Blockchain Stock.</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Sellers of the Blockchain Stock will be required to receive YLDS as consideration, any future purchases of Blockchain Stock on our ATS must be settled in YLDS, and there can be no assurance that the anticipated benefits of holding YLDS will materialize.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In February 2025, we launched YLDS, an interest-bearing transferable stablecoin that is both native to a public blockchain, Provenance Blockchain, and a security registered with the SEC. Any purchases of the Blockchain Stock on our ATS must be settled in YLDS. As of October 1, 2025, YLDS pays a constant interest rate of SOFR minus 0.35%, and our goal is for YLDS to become the de-facto currency of Figure Exchange, provide fiat currency off-ramps for YLDS during local banking hours and 24-hour conversion of YLDS to other stablecoins via transactions on Figure Exchange, and be used as yielding collateral for institutions, among other use cases. However, there can be no assurance that YLDS will continue to pay a constant interest rate of SOFR minus 0.35% or that any of the anticipated benefits or use cases will materialize.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95"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95</w:t>
                      </w:r>
                    </w:p>
                  </w:txbxContent>
                </v:textbox>
                <w10:wrap type="none"/>
              </v:rect>
            </w:pict>
          </mc:Fallback>
        </mc:AlternateContent>
      </w:r>
    </w:p>
    <w:p>
      <w:pPr>
        <w:pStyle w:val="TextBody"/>
        <w:bidi w:val="0"/>
        <w:spacing w:lineRule="auto" w:line="288" w:before="0" w:after="180"/>
        <w:jc w:val="left"/>
        <w:rPr/>
      </w:pPr>
      <w:hyperlink w:anchor="i8e13d1b6f3764394b0e424082d2ac79f_7">
        <w:r>
          <w:rPr>
            <w:rStyle w:val="InternetLink"/>
            <w:rFonts w:ascii="Times New Roman;serif" w:hAnsi="Times New Roman;serif"/>
            <w:b w:val="false"/>
            <w:color w:val="000080"/>
            <w:sz w:val="20"/>
            <w:u w:val="single"/>
          </w:rPr>
          <w:t>Table of Content</w:t>
        </w:r>
      </w:hyperlink>
      <w:hyperlink w:anchor="i8e13d1b6f3764394b0e424082d2ac79f_7">
        <w:r>
          <w:rPr>
            <w:rStyle w:val="InternetLink"/>
            <w:rFonts w:ascii="Times New Roman;serif" w:hAnsi="Times New Roman;serif"/>
            <w:b w:val="false"/>
            <w:color w:val="000080"/>
            <w:sz w:val="20"/>
            <w:u w:val="single"/>
          </w:rPr>
          <w:t>s</w:t>
        </w:r>
      </w:hyperlink>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Distributed ledger technology is an emerging technology and has been subject to limited testing and usage.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Blockchain Stock can be purchased and sold or transferred on our ATS. The infrastructure that facilitates transactions in Blockchain Stock is a new system of recording ownership of tokenized securities and in such context has been subject to only limited testing and usage, which subjects it to certain risks, including, but not limited to:</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possibility of undiscovered technical flaws in an underlying technology, including in the process by which transactions are executed on our ATS or by which the validity of such blockchain transaction can be authenticated and the distributed ledger could be compromised;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 rapidly evolving regulatory landscape, which might include security, privacy, illicit finance or other regulatory concerns that could require changes to digital systems that disrupt transactions in Blockchain Stock;</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possibility that security measures that authenticate prior transactions could be compromised, exploited or “hacked,” which could allow an attacker to alter the blockchain and thereby disrupt the ability to corroborate definitive transactions recorded on the blockchain;</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possibility that new technologies or services will inhibit access to our ATS or the Provenance Blockchain network used by the Blockchain Stock;</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possibility that changes to policies of our ATS or the Provenance Blockchain will limit the ability to withdraw and deposit certain assets;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possibility that other participants on our ATS or the Provenance Blockchain could collude to manipulate the share price or limit liquidity in Blockchain Stock which could restrict a stockholder’s ability to divest their holdings in Blockchain Stock;</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possibility of breakdowns and transaction halts as a result of undiscovered technology flaws that could prevent transactions for a period of time;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possibility that our ATS is hacked or exploited by a third party, resulting in a loss of the holders’ Blockchain Stock;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possibility that an investor’s private key is lost or stolen and the Company is unable to verify the loss or theft could result in irreversible investor losses.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User actions to send and receive digital assets, including Blockchain Stock, from a user’s digital asset wallet involve risks, which could result in loss of a user’s assets. We do not insure against potential losses, and we could be adversely affected if users blame or become dissatisfied with our ATS as a result of these negative experiences.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Public and private digital asset “keys,” consisting of an alphanumeric code, enable users to manage their digital assets on our ATS. Users are able to send digital assets by inputting a public blockchain address and an amount to transfer and are able to receive digital assets by providing the sending party with the users’ own public blockchain address. We do not take possession of a user’s assets and have no access to a user’s private keys.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 number of errors can occur in the process of a user depositing or withdrawing digital assets into or from their digital asset wallets, such as typos, mistakes, or the failure to include the information required by the respective blockchain network. For instance, a user may incorrectly enter the desired recipient’s public key when withdrawing from our platform, or transfer digital assets to a wallet address that the user does not own, control or hold the private keys to. In addition, a wallet address may not be compatible with a blockchain network other than the blockchain network on which it was created. If, for example, any digital asset not compatible with the Provenance Blockchain is sent to a Provenance wallet address, or if any of the foregoing errors occur, all of the user’s sent digital assets will be permanently and irretrievably lost with no means of recovery, including by us. In these scenarios, users may blame or become dissatisfied with our ATS as a result of these negative experiences, which, could adversely affect our business.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do not have insurance for any losses of assets in our users’ wallets. As a result, if private keys are compromised, including due to a cybersecurity incident or to the extent that any of the private keys relating to our users’ wallets are lost, destroyed or otherwise compromised or unavailable, and no backup of the private key is accessible, we will be unable to access the digital assets held in the related wallet. In these scenarios, users may blame or become dissatisfied with our ATS as a result of these negative experiences, which could adversely affect our ability to access or sell our digital services and subject us to regulatory scrutiny, reputational harm and significant financial losses.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96"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96</w:t>
                      </w:r>
                    </w:p>
                  </w:txbxContent>
                </v:textbox>
                <w10:wrap type="none"/>
              </v:rect>
            </w:pict>
          </mc:Fallback>
        </mc:AlternateContent>
      </w:r>
    </w:p>
    <w:p>
      <w:pPr>
        <w:pStyle w:val="TextBody"/>
        <w:bidi w:val="0"/>
        <w:spacing w:lineRule="auto" w:line="288" w:before="0" w:after="180"/>
        <w:jc w:val="left"/>
        <w:rPr/>
      </w:pPr>
      <w:hyperlink w:anchor="i8e13d1b6f3764394b0e424082d2ac79f_7">
        <w:r>
          <w:rPr>
            <w:rStyle w:val="InternetLink"/>
            <w:rFonts w:ascii="Times New Roman;serif" w:hAnsi="Times New Roman;serif"/>
            <w:b w:val="false"/>
            <w:color w:val="000080"/>
            <w:sz w:val="20"/>
            <w:u w:val="single"/>
          </w:rPr>
          <w:t>Table of Content</w:t>
        </w:r>
      </w:hyperlink>
      <w:hyperlink w:anchor="i8e13d1b6f3764394b0e424082d2ac79f_7">
        <w:r>
          <w:rPr>
            <w:rStyle w:val="InternetLink"/>
            <w:rFonts w:ascii="Times New Roman;serif" w:hAnsi="Times New Roman;serif"/>
            <w:b w:val="false"/>
            <w:color w:val="000080"/>
            <w:sz w:val="20"/>
            <w:u w:val="single"/>
          </w:rPr>
          <w:t>s</w:t>
        </w:r>
      </w:hyperlink>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ITEM 1B. UNRESOLVED STAFF COMMENTS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ITEM 1C. CYBERSECURITY</w:t>
      </w:r>
    </w:p>
    <w:p>
      <w:pPr>
        <w:pStyle w:val="TextBody"/>
        <w:bidi w:val="0"/>
        <w:spacing w:lineRule="auto" w:line="288" w:before="0" w:after="18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Cybersecurity Risk Management and Strategy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have developed and implemented a cybersecurity risk management program intended to protect the confidentiality, integrity, and availability of our critical systems and information. Our cybersecurity program is informed by recognized frameworks, including SOC2 Type II and ISO 27001 which we use to help identify, assess, and manage cybersecurity risks relevant to our business.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cybersecurity risk management program is integrated into our overall risk management program, and shares common methodologies, reporting channels and governance processes that apply across the risk management program to other legal, compliance, strategic, operational, and financial risk areas.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Key elements of our cybersecurity risk management program include but are not limited to the following:</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risk assessments designed to help identify material risks from cybersecurity threats to our critical systems and information;</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 security team principally responsible for managing (1) our cybersecurity risk assessment processes, (2) our security controls, and (3) our response to cybersecurity incidents;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use of external service providers, where appropriate, to assess, test or otherwise assist with aspects of our security processes;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cybersecurity awareness training of our employees, including incident response personnel and senior management;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 cybersecurity incident response plan that includes procedures for responding to cybersecurity incidents;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 third-party risk management process for key service providers based on our assessment of their criticality to our operations and respective risk profile.</w:t>
      </w:r>
    </w:p>
    <w:p>
      <w:pPr>
        <w:pStyle w:val="TextBody"/>
        <w:bidi w:val="0"/>
        <w:spacing w:lineRule="auto" w:line="288" w:before="0" w:after="18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Cybersecurity Governance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Our Board considers cybersecurity risk as part of its risk oversight function and has delegated to the IT Security Risk Committee (the “Committee”) oversight of cybersecurity risks, including oversight of management’s implementation of our cybersecurity risk management program.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Committee receives quarterly reports from management on our cybersecurity risks. In addition, management updates the Committee, where it deems appropriate, regarding cybersecurity incidents it considers to be significant.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Committee reports to the Audit Committee of the Board of Directors regarding its activities, including those related to cybersecurity. Audit Committee members receive presentations on cybersecurity topics from our Chief Information Security Officer (“CISO”), internal security staff or external experts on a quarterly basis.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Our management team, led by the CISO, is primarily responsible for assessing and managing our material risks from cybersecurity threats. The CISO, who is operating in the Chief Technology Officer (“CTO”) capacity, has primary responsibility for our overall cybersecurity risk management program and supervises both our internal cybersecurity personnel and our retained external cybersecurity consultants. Our CISO’s experience includes information security, risk management, and technology operations, and take steps to stay informed about emerging cybersecurity risks and evolving threat landscapes.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Our CISO takes steps to stay informed about and monitor efforts to prevent, detect, mitigate, and remediate cybersecurity risks and incidents through various means, which may include: briefings from internal security personnel; threat intelligence and other information obtained from governmental, public or private sources, including external consultants engaged by us; and alerts and reports produced by security tools deployed in our IT environment.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97"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97</w:t>
                      </w:r>
                    </w:p>
                  </w:txbxContent>
                </v:textbox>
                <w10:wrap type="none"/>
              </v:rect>
            </w:pict>
          </mc:Fallback>
        </mc:AlternateContent>
      </w:r>
    </w:p>
    <w:p>
      <w:pPr>
        <w:pStyle w:val="TextBody"/>
        <w:bidi w:val="0"/>
        <w:spacing w:lineRule="auto" w:line="288" w:before="0" w:after="180"/>
        <w:jc w:val="left"/>
        <w:rPr/>
      </w:pPr>
      <w:hyperlink w:anchor="i8e13d1b6f3764394b0e424082d2ac79f_7">
        <w:r>
          <w:rPr>
            <w:rStyle w:val="InternetLink"/>
            <w:rFonts w:ascii="Times New Roman;serif" w:hAnsi="Times New Roman;serif"/>
            <w:b w:val="false"/>
            <w:color w:val="000080"/>
            <w:sz w:val="20"/>
            <w:u w:val="single"/>
          </w:rPr>
          <w:t>Table of Content</w:t>
        </w:r>
      </w:hyperlink>
      <w:hyperlink w:anchor="i8e13d1b6f3764394b0e424082d2ac79f_7">
        <w:r>
          <w:rPr>
            <w:rStyle w:val="InternetLink"/>
            <w:rFonts w:ascii="Times New Roman;serif" w:hAnsi="Times New Roman;serif"/>
            <w:b w:val="false"/>
            <w:color w:val="000080"/>
            <w:sz w:val="20"/>
            <w:u w:val="single"/>
          </w:rPr>
          <w:t>s</w:t>
        </w:r>
      </w:hyperlink>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ITEM 2. PROPERTIES</w:t>
      </w:r>
    </w:p>
    <w:p>
      <w:pPr>
        <w:pStyle w:val="TextBody"/>
        <w:bidi w:val="0"/>
        <w:spacing w:lineRule="auto" w:line="288" w:before="0" w:after="180"/>
        <w:jc w:val="both"/>
        <w:rPr/>
      </w:pPr>
      <w:r>
        <w:rPr>
          <w:rFonts w:ascii="Times New Roman;serif" w:hAnsi="Times New Roman;serif"/>
          <w:b w:val="false"/>
          <w:color w:val="000000"/>
          <w:sz w:val="20"/>
        </w:rPr>
        <w:t xml:space="preserve">We lease approximately 60,000 square feet of office space in 8 locations in the United States. </w:t>
      </w:r>
      <w:r>
        <w:rPr>
          <w:rFonts w:ascii="Times New Roman;serif" w:hAnsi="Times New Roman;serif"/>
          <w:b w:val="false"/>
          <w:color w:val="000000"/>
          <w:sz w:val="20"/>
          <w:shd w:fill="FFFFFF" w:val="clear"/>
        </w:rPr>
        <w:t>Our le</w:t>
      </w:r>
      <w:r>
        <w:rPr>
          <w:rFonts w:ascii="Times New Roman;serif" w:hAnsi="Times New Roman;serif"/>
          <w:b w:val="false"/>
          <w:color w:val="000000"/>
          <w:sz w:val="20"/>
        </w:rPr>
        <w:t xml:space="preserve">gal headquarters are in leased office space in Reno, Nevada. Our Reno facilities consist of approximately 12,471 square </w:t>
      </w:r>
      <w:r>
        <w:rPr>
          <w:rFonts w:ascii="Times New Roman;serif" w:hAnsi="Times New Roman;serif"/>
          <w:b w:val="false"/>
          <w:color w:val="000000"/>
          <w:sz w:val="20"/>
          <w:shd w:fill="FFFFFF" w:val="clear"/>
        </w:rPr>
        <w:t>feet leased thro</w:t>
      </w:r>
      <w:r>
        <w:rPr>
          <w:rFonts w:ascii="Times New Roman;serif" w:hAnsi="Times New Roman;serif"/>
          <w:b w:val="false"/>
          <w:color w:val="000000"/>
          <w:sz w:val="20"/>
        </w:rPr>
        <w:t>ugh 1/31/2027. We maintain additional office locations in various U.S. cities, which support corporate functions, product development, operations, sales, and other business activities.</w:t>
      </w:r>
      <w:r>
        <w:rPr>
          <w:color w:val="000000"/>
          <w:shd w:fill="FFFFFF" w:val="clear"/>
        </w:rPr>
        <w:t xml:space="preserve"> </w:t>
      </w:r>
      <w:r>
        <w:rPr>
          <w:rFonts w:ascii="Times New Roman;serif" w:hAnsi="Times New Roman;serif"/>
          <w:b w:val="false"/>
          <w:color w:val="000000"/>
          <w:sz w:val="20"/>
          <w:shd w:fill="FFFFFF" w:val="clear"/>
        </w:rPr>
        <w:t>We lease all our facilities and do not own any real property.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All facilities are in good condition. We believe that our existing facilities and offices are adequate to meet our requirements for the foreseeable future. See Part II, Item 8, Note 10 for more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ITEM 3. LEGAL PROCEEDINGS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From time to time, we are, and from time to time in the future may be, subject to legal proceedings and claims arising in the ordinary course of our business. We are not currently a party to or aware of any proceedings that we believe will have, individually or in the aggregate, a material adverse effect on our business, financial condition, or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98"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98</w:t>
                      </w:r>
                    </w:p>
                  </w:txbxContent>
                </v:textbox>
                <w10:wrap type="none"/>
              </v:rect>
            </w:pict>
          </mc:Fallback>
        </mc:AlternateContent>
      </w:r>
    </w:p>
    <w:p>
      <w:pPr>
        <w:pStyle w:val="TextBody"/>
        <w:bidi w:val="0"/>
        <w:spacing w:lineRule="auto" w:line="288" w:before="0" w:after="180"/>
        <w:jc w:val="left"/>
        <w:rPr/>
      </w:pPr>
      <w:hyperlink w:anchor="i8e13d1b6f3764394b0e424082d2ac79f_7">
        <w:r>
          <w:rPr>
            <w:rStyle w:val="InternetLink"/>
            <w:rFonts w:ascii="Times New Roman;serif" w:hAnsi="Times New Roman;serif"/>
            <w:b w:val="false"/>
            <w:color w:val="000080"/>
            <w:sz w:val="20"/>
            <w:u w:val="single"/>
          </w:rPr>
          <w:t>Table of Content</w:t>
        </w:r>
      </w:hyperlink>
      <w:hyperlink w:anchor="i8e13d1b6f3764394b0e424082d2ac79f_7">
        <w:r>
          <w:rPr>
            <w:rStyle w:val="InternetLink"/>
            <w:rFonts w:ascii="Times New Roman;serif" w:hAnsi="Times New Roman;serif"/>
            <w:b w:val="false"/>
            <w:color w:val="000080"/>
            <w:sz w:val="20"/>
            <w:u w:val="single"/>
          </w:rPr>
          <w:t>s</w:t>
        </w:r>
      </w:hyperlink>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 xml:space="preserve">PART II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ITEM 5. MARKET FOR REGISTRANT'S COMMON EQUITY, RELATED STOCKHOLDER MATTERS, AND ISSUER PURCHASES OF EQUITY SECURITIES</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Use of Initial Public Offering Proceeds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On September 10, 2025, the SEC declared effective our Registration Statement on Form S</w:t>
        <w:noBreakHyphen/>
        <w:t>1 (File No. 333</w:t>
        <w:noBreakHyphen/>
        <w:t>289695), as amended, filed in connection with our IPO. There has been no material change in the planned use of the net proceeds from our IPO as described in our Prospectus.</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Market Information for Common Stock</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Class A common stock is traded on the NASDAQ Global Select market under the symbol “FIGR”. Our Class B common stock is not listed or traded on any national securities exchange. Our Blockchain Stock is traded exclusively on our ATS and is not listed or traded on any national securities exchange.</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Dividend Policy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have never declared or paid cash dividends on our common stock or Blockchain Stock. We currently intend to retain all available funds and any future earnings to fund the development and growth of our business. Accordingly, we do not expect to pay cash dividends on our common stock or Blockchain Stock in the foreseeable future.</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Stockholders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of December 31, 2025, there were 337 Class A common stockholders of record, 5 Class B common stockholders of record and no Blockchain stockholders of record. Because many of our shares of common stock are held by brokers or other institutions on behalf of stockholders, we are unable to estimate the total number of stockholders represented by the record holders.</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Issuer Purchases of Equity Securities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did not repurchase any shares of our Class A common stock during the year ended December 31, 2025.</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Recent Sales of Unregistered Securities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did not sell any equity that were not registered under the Securities Act of 1933 during the three months ended December 31,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99"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99</w:t>
                      </w:r>
                    </w:p>
                  </w:txbxContent>
                </v:textbox>
                <w10:wrap type="none"/>
              </v:rect>
            </w:pict>
          </mc:Fallback>
        </mc:AlternateContent>
      </w:r>
    </w:p>
    <w:p>
      <w:pPr>
        <w:pStyle w:val="TextBody"/>
        <w:bidi w:val="0"/>
        <w:spacing w:lineRule="auto" w:line="288" w:before="0" w:after="180"/>
        <w:jc w:val="left"/>
        <w:rPr/>
      </w:pPr>
      <w:hyperlink w:anchor="i8e13d1b6f3764394b0e424082d2ac79f_7">
        <w:r>
          <w:rPr>
            <w:rStyle w:val="InternetLink"/>
            <w:rFonts w:ascii="Times New Roman;serif" w:hAnsi="Times New Roman;serif"/>
            <w:b w:val="false"/>
            <w:color w:val="000080"/>
            <w:sz w:val="20"/>
            <w:u w:val="single"/>
          </w:rPr>
          <w:t>Table of Content</w:t>
        </w:r>
      </w:hyperlink>
      <w:hyperlink w:anchor="i8e13d1b6f3764394b0e424082d2ac79f_7">
        <w:r>
          <w:rPr>
            <w:rStyle w:val="InternetLink"/>
            <w:rFonts w:ascii="Times New Roman;serif" w:hAnsi="Times New Roman;serif"/>
            <w:b w:val="false"/>
            <w:color w:val="000080"/>
            <w:sz w:val="20"/>
            <w:u w:val="single"/>
          </w:rPr>
          <w:t>s</w:t>
        </w:r>
      </w:hyperlink>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Stock Performance Graph</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performance graph compares the cumulative total shareholder return of an investment in our common stock from September 11, 2025 (first day of trading) through December 31, 2025 to the cumulative total return of the NASDAQ Composite index as well as the Russell 2000 index. The graph assumes that $100 was invested on September 11, 2025 and the reinvestment of dividends, if any. The share price performance presented below is not necessarily indicative of future results. The stock performance graph below reflects only the performance of our Class A common stock, as our Blockchain Stock was not trading during fiscal year 2025.</w:t>
      </w:r>
    </w:p>
    <w:p>
      <w:pPr>
        <w:pStyle w:val="TextBody"/>
        <w:bidi w:val="0"/>
        <w:spacing w:before="0" w:after="180"/>
        <w:jc w:val="both"/>
        <w:rPr/>
      </w:pPr>
      <w:r>
        <w:rPr/>
        <w:drawing>
          <wp:inline distT="0" distB="0" distL="0" distR="0">
            <wp:extent cx="6305550" cy="3657600"/>
            <wp:effectExtent l="0" t="0" r="0" b="0"/>
            <wp:docPr id="100"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1" descr=""/>
                    <pic:cNvPicPr>
                      <a:picLocks noChangeAspect="1" noChangeArrowheads="1"/>
                    </pic:cNvPicPr>
                  </pic:nvPicPr>
                  <pic:blipFill>
                    <a:blip r:embed="rId2"/>
                    <a:stretch>
                      <a:fillRect/>
                    </a:stretch>
                  </pic:blipFill>
                  <pic:spPr bwMode="auto">
                    <a:xfrm>
                      <a:off x="0" y="0"/>
                      <a:ext cx="6305550" cy="3657600"/>
                    </a:xfrm>
                    <a:prstGeom prst="rect">
                      <a:avLst/>
                    </a:prstGeom>
                  </pic:spPr>
                </pic:pic>
              </a:graphicData>
            </a:graphic>
          </wp:inline>
        </w:drawing>
      </w:r>
      <w:bookmarkStart w:id="0" w:name="i-1"/>
      <w:bookmarkEnd w:id="0"/>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stock performance graph is not deemed to be “soliciting material” or “filed” for purposes of Section 18 of the Exchange Act and is not deemed incorporated by reference into any filing under the Securities Act or the Exchange Act, except as expressly set forth by specific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ITEM 6. [RESERVED]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ITEM 7. MANAGEMENT'S DISCUSSION AND ANALYSIS OF FINANCIAL CONDITION AND RESULTS OF OPERATIONS</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You should read the following discussion and analysis of our financial condition and results of operations together with our Consolidated Financial Statements and the related notes appearing elsewhere in this Annual Report on Form 10-K. Some of the information contained in this discussion and analysis or set forth elsewhere in this Annual Report on Form 10-K, including information with respect to our plans and strategy for our business, includes forward-looking statements that involve risks and uncertainties. You should read the sections titled “Risk Factors” and “Special Note Regarding Forward-Looking Statements” for a discussion of important factors that could cause actual results to differ materially from the results described in or implied by the forward-looking statements contained in the following discussion and analysis. U.S. Dollars appearing in tables are presented in thousands unless otherwise indicated. A discussion of our financial condition and results of operations for the year ended December 31, 2024 compared to the year ended December 31, 2023 is included in our final prospectus dated September 10, 2025, filed with the SEC on September 11, 2025 pursuant to Rule 424(b) of the Securities Act (the “Prospectus”), under the heading “Management’s Discussion and Analysis of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101"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100</w:t>
                      </w:r>
                    </w:p>
                  </w:txbxContent>
                </v:textbox>
                <w10:wrap type="none"/>
              </v:rect>
            </w:pict>
          </mc:Fallback>
        </mc:AlternateContent>
      </w:r>
    </w:p>
    <w:p>
      <w:pPr>
        <w:pStyle w:val="TextBody"/>
        <w:bidi w:val="0"/>
        <w:spacing w:lineRule="auto" w:line="288" w:before="0" w:after="180"/>
        <w:jc w:val="left"/>
        <w:rPr/>
      </w:pPr>
      <w:hyperlink w:anchor="i8e13d1b6f3764394b0e424082d2ac79f_7">
        <w:r>
          <w:rPr>
            <w:rStyle w:val="InternetLink"/>
            <w:rFonts w:ascii="Times New Roman;serif" w:hAnsi="Times New Roman;serif"/>
            <w:b w:val="false"/>
            <w:color w:val="000080"/>
            <w:sz w:val="20"/>
            <w:u w:val="single"/>
          </w:rPr>
          <w:t>Table of Content</w:t>
        </w:r>
      </w:hyperlink>
      <w:hyperlink w:anchor="i8e13d1b6f3764394b0e424082d2ac79f_7">
        <w:r>
          <w:rPr>
            <w:rStyle w:val="InternetLink"/>
            <w:rFonts w:ascii="Times New Roman;serif" w:hAnsi="Times New Roman;serif"/>
            <w:b w:val="false"/>
            <w:color w:val="000080"/>
            <w:sz w:val="20"/>
            <w:u w:val="single"/>
          </w:rPr>
          <w:t>s</w:t>
        </w:r>
      </w:hyperlink>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Executive Overview</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Figure is building the future of capital markets using blockchain-based technology. Financial services have historically been and are still trust-based markets, which require intermediation. Large institutional companies have been built around this. Blockchain-based technology has the power to distill these multi-party marketplaces down to just two: buyer and seller.</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Blockchain can do more than disrupt existing markets. By taking historically illiquid assets, such as loans, and putting these assets and their performance history on-chain, blockchain can bring liquidity to markets that have never had such. That liquidity, coupled with the ability to achieve true digital perfection and control, opens financing opportunities that were not accessible before.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believe in three core benefits blockchain delivers to the capital markets. The first is transactional: the reduction of audit, quality control, third-party review and other expenses. The second is liquidity: the ability to support 24x7, real-time bilateral marketplaces. The third is financing: the democratization of capital access through programmable smart contracts that enable peer-to-peer funding and real time loan perfection.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Figure’s proprietary technology powers next-generation lending, trading and investing activities in areas such as consumer credit and digital assets. Our application of the blockchain ledger allows us to better serve our end-customers, improve speed and efficiency, and enhance standardization and liquidity. Using our technology, we continue to develop dynamic, vertically-integrated marketplaces.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Recent Developments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Reorganization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Prior to a change in corporate structure on March 18, 2024, the consolidated financial statements were under the former parent company, Figure Technologies, Inc. ("FT"). On March 18, 2024, FT, FT Intermediate, Inc. (“FTI”), and Figure Markets Holdings, Inc. (“FMH”) and other entities under common control consummated a reorganization (the “Reorganization”) whereby FT contributed assets and liabilities to FTI and subsequently, FT consummated a reverse merger with a subsidiary of FTI. Each outstanding share of common stock of FT converted into one share of common stock of FTI, whereby FTI (a) contributed assets and liabilities applicable to the FMH business and (b) 100% of the equity interest to FT's successor. FT then ratably distributed 74.1% of FMHs' common stock to third-party shareholders and 25.9% to related parties in exchange for their FTI common stock.</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a result of the Reorganization, there were two affiliated corporations under common control. Each of the following two corporations was owned either directly or indirectly by its controlling shareholder, Michael Cagney (“Controlling Party”):</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FTI was formed on March 18, 2024 as a Delaware corporation and primarily operates through its wholly-owned subsidiary, Figure Lending Corp. (“Lending”). Lending offers Figure Connect which generates ecosystem and technology fees, and originates, sells, and securitizes home equity line of credit (“HELOC”) loans that it services.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FMH was formed on January 25, 2024 as a Delaware corporation. FMH utilized blockchain technology to develop an exchange for digital assets and credit, with new product offerings including providing interest-bearing stablecoin deposits.</w:t>
      </w:r>
    </w:p>
    <w:p>
      <w:pPr>
        <w:pStyle w:val="TextBody"/>
        <w:bidi w:val="0"/>
        <w:spacing w:lineRule="auto" w:line="288" w:before="0" w:after="180"/>
        <w:jc w:val="both"/>
        <w:rPr/>
      </w:pPr>
      <w:r>
        <w:rPr>
          <w:rFonts w:ascii="Times New Roman;serif" w:hAnsi="Times New Roman;serif"/>
          <w:b w:val="false"/>
          <w:color w:val="000000"/>
          <w:sz w:val="20"/>
          <w:shd w:fill="FFFFFF" w:val="clear"/>
        </w:rPr>
        <w:t xml:space="preserve">In May 2025, both FTS and </w:t>
      </w:r>
      <w:r>
        <w:rPr>
          <w:rFonts w:ascii="Times New Roman;serif" w:hAnsi="Times New Roman;serif"/>
          <w:b w:val="false"/>
          <w:color w:val="000000"/>
          <w:sz w:val="20"/>
        </w:rPr>
        <w:t>FMH</w:t>
      </w:r>
      <w:r>
        <w:rPr>
          <w:color w:val="000000"/>
          <w:shd w:fill="FFFFFF" w:val="clear"/>
        </w:rPr>
        <w:t xml:space="preserve"> </w:t>
      </w:r>
      <w:r>
        <w:rPr>
          <w:rFonts w:ascii="Times New Roman;serif" w:hAnsi="Times New Roman;serif"/>
          <w:b w:val="false"/>
          <w:color w:val="000000"/>
          <w:sz w:val="20"/>
          <w:shd w:fill="FFFFFF" w:val="clear"/>
        </w:rPr>
        <w:t>redomiciled from the State of Delaware to the State of Nevada.</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Recombination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On August 29, 2025 (“Recombination Date”), FTI and FMH recombined the businesses through a series of transactions (the “Recombination”) and FMH became a wholly-owned subsidiary of FTI. Approximately five outstanding shares of FMH common or preferred stock, options, or warrants converted into one share of common or preferred stock, options, or warrants of FTI (“Conversion Rate”). Upon the consummation of the Recombination, FTI changed its name to Figure Technology Solutions, Inc.</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Recombination was a reorganization of entities under common control as FTI and FMH were owned, either directly or indirectly, by the Controlling Party before and after the Recombination. As a result, the Recombination is accounted for in a manner similar to a pooling of interests with the assets and liabilities of the parties to the Recombination carried over at their historical amounts. Therefore, the accompanying Consolidated Financial Statements have been retrospectively recast to reflect the results as if FTI and FMH were a single consolidated entity as of the earliest period presented.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102"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101</w:t>
                      </w:r>
                    </w:p>
                  </w:txbxContent>
                </v:textbox>
                <w10:wrap type="none"/>
              </v:rect>
            </w:pict>
          </mc:Fallback>
        </mc:AlternateContent>
      </w:r>
    </w:p>
    <w:p>
      <w:pPr>
        <w:pStyle w:val="TextBody"/>
        <w:bidi w:val="0"/>
        <w:spacing w:lineRule="auto" w:line="288" w:before="0" w:after="180"/>
        <w:jc w:val="left"/>
        <w:rPr/>
      </w:pPr>
      <w:hyperlink w:anchor="i8e13d1b6f3764394b0e424082d2ac79f_7">
        <w:r>
          <w:rPr>
            <w:rStyle w:val="InternetLink"/>
            <w:rFonts w:ascii="Times New Roman;serif" w:hAnsi="Times New Roman;serif"/>
            <w:b w:val="false"/>
            <w:color w:val="000080"/>
            <w:sz w:val="20"/>
            <w:u w:val="single"/>
          </w:rPr>
          <w:t>Table of Content</w:t>
        </w:r>
      </w:hyperlink>
      <w:hyperlink w:anchor="i8e13d1b6f3764394b0e424082d2ac79f_7">
        <w:r>
          <w:rPr>
            <w:rStyle w:val="InternetLink"/>
            <w:rFonts w:ascii="Times New Roman;serif" w:hAnsi="Times New Roman;serif"/>
            <w:b w:val="false"/>
            <w:color w:val="000080"/>
            <w:sz w:val="20"/>
            <w:u w:val="single"/>
          </w:rPr>
          <w:t>s</w:t>
        </w:r>
      </w:hyperlink>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IPO</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On September 12, 2025, the Company completed its IPO, in which the Company issued and sold 36,225,000 shares of its Class A common stock, including the underwriters’ over-allotment option which was exercised in full, at a public offering price of $25.00 per share. The IPO resulted in net proceeds to the Company of $663.4 million after deducting the underwriting discounts and commissions.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connection with the IPO, all shares of outstanding convertible preferred stock, including 2,010,410 shares of Series E preferred stock issued upon the exercise of outstanding warrants, automatically converted to 113,910,905 shares of Class A common stock, and a total of 39,393,047 shares of our Class A common stock held by the Controlling Party and his permitted transferees were converted into an equivalent number of shares of Class B common stock, of which 1,500,000 shares were subsequently converted back to Class A and sold in connection with the IPO.</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OPEN Launch</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In February 2026, we launched On-Chain Public Equity Network (“OPEN”), a blockchain-based network designed to modernize the infrastructure that supports the issuance, trading, custody and lending of public equity securities.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OPEN enables companies to issue their equity natively on the Provenance Blockchain and make it available for secondary market trading on our ATS. OPEN is designed to reduce reliance on traditional centralized market infrastructure and provide new capabilities for public companies and shareholders. These capabilities are anticipated to include lower costs and capital requirements compared to existing clearing and settlement models, greater access to trading through self-custody and self-settlement mechanisms that can reduce the need for custodial intermediaries, portfolio margining across digital and tokenized assets.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aim to support frictionless two-way exchangeability between our securities issued on OPEN and our listed Class A common stock, a capability that we expect to make available to future OPEN issuers. This exchangeability is intended to promote liquidity and prices near par between blockchain securities and securities listed on national exchanges. </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Blockchain Common Stock Offering</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In February 2026, the Company successfully completed a secondary public offering of 4,375,000 shares of its Series A Blockchain Common Stock ("Blockchain Stock"). The selling stockholders in the offering agreed to sell 4,687,500 shares of Class A common stock to the underwriters. The Company did not raise proceeds through this offering. In conjunction with the offering, the Company repurchased 312,500 of our Class A common stock, subsequently held in treasury, that were subject to the offering at an aggregate amount of approximately $10 million at $32.00 per share.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Blockchain Stock is a new class of equity security that trades exclusively on the Company’s ATS, allowing for trading 24 hours per day, 7 days per week. The Blockchain Stock provides the ability for holders to lend their stock transparently and utilize cross-asset collateralization through DeFi protocols. The offering served as the foundational launch of OPEN.</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Share Repurchase Program</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On February 25, 2026, the Company’s Board of Directors authorized a share repurchase program under which the Company may repurchase up to $200 million of its Class A and Blockchain common stock over the next 12 months subject to market conditions, contractual restrictions and other factors.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Repurchases under the program may be made from time to time in the open market, through privately negotiated transactions, accelerated share repurchase transactions, or by other means in accordance with applicable securities laws and regulations. The timing, number of shares repurchased, and prices paid will depend on market conditions, share price, trading volume, corporate considerations, and other factors. Open market repurchases will be structured to occur within the pricing and volume requirements of Rule 10b-18. The Company may also, from time to time, enter into Rule 10b5-1 plans to facilitate repurchases of its shares under this authorization.</w:t>
        <w:br/>
        <w:br/>
        <w:t>This program does not obligate the Company to acquire any particular amount of stock and the program may be extended, modified, suspended or discontinued at any time at the Company’s discretion.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 xml:space="preserve">Key Operating Metrics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review several key performance measures, discussed below, to evaluate our business and results, measure performance, identify trends, formulate plans, and make strategic decisions. We believe that the presentation of such metrics is useful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103" name="Frame1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102</w:t>
                      </w:r>
                    </w:p>
                  </w:txbxContent>
                </v:textbox>
                <w10:wrap type="none"/>
              </v:rect>
            </w:pict>
          </mc:Fallback>
        </mc:AlternateContent>
      </w:r>
    </w:p>
    <w:p>
      <w:pPr>
        <w:pStyle w:val="TextBody"/>
        <w:bidi w:val="0"/>
        <w:spacing w:lineRule="auto" w:line="288" w:before="0" w:after="180"/>
        <w:jc w:val="left"/>
        <w:rPr/>
      </w:pPr>
      <w:hyperlink w:anchor="i8e13d1b6f3764394b0e424082d2ac79f_7">
        <w:r>
          <w:rPr>
            <w:rStyle w:val="InternetLink"/>
            <w:rFonts w:ascii="Times New Roman;serif" w:hAnsi="Times New Roman;serif"/>
            <w:b w:val="false"/>
            <w:color w:val="000080"/>
            <w:sz w:val="20"/>
            <w:u w:val="single"/>
          </w:rPr>
          <w:t>Table of Content</w:t>
        </w:r>
      </w:hyperlink>
      <w:hyperlink w:anchor="i8e13d1b6f3764394b0e424082d2ac79f_7">
        <w:r>
          <w:rPr>
            <w:rStyle w:val="InternetLink"/>
            <w:rFonts w:ascii="Times New Roman;serif" w:hAnsi="Times New Roman;serif"/>
            <w:b w:val="false"/>
            <w:color w:val="000080"/>
            <w:sz w:val="20"/>
            <w:u w:val="single"/>
          </w:rPr>
          <w: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investors and counterparties because they are used to measure and model the performance of companies similar to us using similar metrics.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tables set forth key performance measures that we use to evaluate our business for the years ended December 31, 2025 and 2024:</w:t>
      </w:r>
    </w:p>
    <w:tbl>
      <w:tblPr>
        <w:tblW w:w="6609" w:type="dxa"/>
        <w:jc w:val="left"/>
        <w:tblInd w:w="0" w:type="dxa"/>
        <w:tblLayout w:type="fixed"/>
        <w:tblCellMar>
          <w:top w:w="28" w:type="dxa"/>
          <w:left w:w="28" w:type="dxa"/>
          <w:bottom w:w="28" w:type="dxa"/>
          <w:right w:w="28" w:type="dxa"/>
        </w:tblCellMar>
      </w:tblPr>
      <w:tblGrid>
        <w:gridCol w:w="1011"/>
        <w:gridCol w:w="886"/>
        <w:gridCol w:w="893"/>
        <w:gridCol w:w="109"/>
        <w:gridCol w:w="109"/>
        <w:gridCol w:w="160"/>
        <w:gridCol w:w="160"/>
        <w:gridCol w:w="289"/>
        <w:gridCol w:w="1284"/>
        <w:gridCol w:w="160"/>
        <w:gridCol w:w="109"/>
        <w:gridCol w:w="109"/>
        <w:gridCol w:w="109"/>
        <w:gridCol w:w="196"/>
        <w:gridCol w:w="871"/>
        <w:gridCol w:w="154"/>
      </w:tblGrid>
      <w:tr>
        <w:trPr/>
        <w:tc>
          <w:tcPr>
            <w:tcW w:w="101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3"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Years Ended December 31,</w:t>
            </w:r>
          </w:p>
        </w:tc>
        <w:tc>
          <w:tcPr>
            <w:tcW w:w="1548" w:type="dxa"/>
            <w:gridSpan w:val="6"/>
            <w:tcBorders/>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7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Ecosystem volume</w:t>
            </w:r>
            <w:r>
              <w:rPr>
                <w:rFonts w:ascii="Times New Roman;serif" w:hAnsi="Times New Roman;serif"/>
                <w:b w:val="false"/>
                <w:color w:val="000000"/>
                <w:sz w:val="10"/>
              </w:rPr>
              <w:t>(1)</w:t>
            </w: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9,087,631 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5,879,147 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Consumer loan marketplace volume</w:t>
            </w:r>
            <w:r>
              <w:rPr>
                <w:rFonts w:ascii="Times New Roman;serif" w:hAnsi="Times New Roman;serif"/>
                <w:b w:val="false"/>
                <w:color w:val="000000"/>
                <w:sz w:val="10"/>
              </w:rPr>
              <w:t>(2)</w:t>
            </w: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5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8,377,133 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5,128,460 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Partner-branded volume</w:t>
            </w:r>
            <w:r>
              <w:rPr>
                <w:rFonts w:ascii="Times New Roman;serif" w:hAnsi="Times New Roman;serif"/>
                <w:b w:val="false"/>
                <w:color w:val="000000"/>
                <w:sz w:val="10"/>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5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6,401,396 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3,447,331 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Figure-branded volume</w:t>
            </w:r>
            <w:r>
              <w:rPr>
                <w:rFonts w:ascii="Times New Roman;serif" w:hAnsi="Times New Roman;serif"/>
                <w:b w:val="false"/>
                <w:color w:val="000000"/>
                <w:sz w:val="10"/>
              </w:rPr>
              <w:t>(4)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5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1,975,737 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1,681,129 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Digital asset marketplace volume</w:t>
            </w:r>
            <w:r>
              <w:rPr>
                <w:rFonts w:ascii="Times New Roman;serif" w:hAnsi="Times New Roman;serif"/>
                <w:b w:val="false"/>
                <w:color w:val="000000"/>
                <w:sz w:val="10"/>
              </w:rPr>
              <w:t>(5)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5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710,498 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750,687 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Figure connect volume</w:t>
            </w:r>
            <w:r>
              <w:rPr>
                <w:rFonts w:ascii="Times New Roman;serif" w:hAnsi="Times New Roman;serif"/>
                <w:b w:val="false"/>
                <w:color w:val="000000"/>
                <w:sz w:val="10"/>
              </w:rPr>
              <w:t>(6)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5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3,842,222 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7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506,865 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340,885 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5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134,281 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Adjusted net revenue</w:t>
            </w:r>
            <w:r>
              <w:rPr>
                <w:rFonts w:ascii="Times New Roman;serif" w:hAnsi="Times New Roman;serif"/>
                <w:b w:val="false"/>
                <w:color w:val="000000"/>
                <w:sz w:val="10"/>
              </w:rPr>
              <w:t>(7)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5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514,804 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339,182 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Adjusted EBITDA</w:t>
            </w:r>
            <w:r>
              <w:rPr>
                <w:rFonts w:ascii="Times New Roman;serif" w:hAnsi="Times New Roman;serif"/>
                <w:b w:val="false"/>
                <w:color w:val="000000"/>
                <w:sz w:val="10"/>
              </w:rPr>
              <w:t>(7)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5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251,157 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101,443 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both"/>
        <w:rPr>
          <w:rFonts w:ascii="Times New Roman;serif" w:hAnsi="Times New Roman;serif"/>
          <w:b w:val="false"/>
          <w:color w:val="000000"/>
          <w:sz w:val="16"/>
        </w:rPr>
      </w:pPr>
      <w:r>
        <w:rPr>
          <w:rFonts w:ascii="Times New Roman;serif" w:hAnsi="Times New Roman;serif"/>
          <w:b w:val="false"/>
          <w:color w:val="000000"/>
          <w:sz w:val="16"/>
        </w:rPr>
        <w:t>_______________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(1)Ecosystem Volume consists of Consumer Loan Marketplace Volume and Digital Asset Marketplace Volume.</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(2)We define Consumer Loan Marketplace Volume as the total U.S. dollar equivalent value of originations of HELOCs, DSCR,and personal loans on our LOS, as well as the volume of third-party loans traded on Figure Connect. We believe this measure is an indication of our scale and represents a potential revenue opportunity from the technology used for consumer credit loan originations.</w:t>
      </w:r>
    </w:p>
    <w:p>
      <w:pPr>
        <w:pStyle w:val="TextBody"/>
        <w:bidi w:val="0"/>
        <w:spacing w:lineRule="auto" w:line="288" w:before="0" w:after="0"/>
        <w:ind w:left="0" w:right="0" w:hanging="360"/>
        <w:jc w:val="both"/>
        <w:rPr/>
      </w:pPr>
      <w:r>
        <w:rPr>
          <w:rFonts w:ascii="Times New Roman;serif" w:hAnsi="Times New Roman;serif"/>
          <w:b w:val="false"/>
          <w:color w:val="000000"/>
          <w:sz w:val="16"/>
        </w:rPr>
        <w:t>(3)We define Partner-branded Volume as the total U.S. dollar equivalent value of loans originated using our LOS under our partners’ brands. Partner-branded volume is inclusive of Figure Connect Volume.</w:t>
      </w:r>
      <w:r>
        <w:rPr>
          <w:color w:val="000000"/>
        </w:rPr>
        <w:t xml:space="preserve"> </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(4)We define Figure-branded Volume as the total U.S. dollar equivalent value of loans originated using our LOS under our brand. </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(5)We define Digital Asset Marketplace Volume as the total U.S. dollar equivalent value of matched trades transacted between a buyer and seller through Figure Exchange. We believe this measure is an indication of our scale and represents a potential opportunity for our digital asset offering.</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(6)We define Figure Connect Volume as the total U.S. dollar equivalent value of Consumer Loan Marketplace Volume originated by third-party sellers through our Figure Connect marketplace. We believe this measure is a reflection of the underlying growth of our Figure Connect ecosystem.</w:t>
      </w:r>
    </w:p>
    <w:p>
      <w:pPr>
        <w:pStyle w:val="TextBody"/>
        <w:bidi w:val="0"/>
        <w:spacing w:lineRule="auto" w:line="288" w:before="0" w:after="18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(7)For definitions of Adjusted Net Revenue and Adjusted EBITDA and reconciliations to our most directly comparable financial measures calculated and presented in accordance with GAAP, see “—Non-GAAP Financial Measures.”</w:t>
      </w:r>
    </w:p>
    <w:tbl>
      <w:tblPr>
        <w:tblW w:w="5261" w:type="dxa"/>
        <w:jc w:val="left"/>
        <w:tblInd w:w="0" w:type="dxa"/>
        <w:tblLayout w:type="fixed"/>
        <w:tblCellMar>
          <w:top w:w="28" w:type="dxa"/>
          <w:left w:w="28" w:type="dxa"/>
          <w:bottom w:w="28" w:type="dxa"/>
          <w:right w:w="28" w:type="dxa"/>
        </w:tblCellMar>
      </w:tblPr>
      <w:tblGrid>
        <w:gridCol w:w="685"/>
        <w:gridCol w:w="602"/>
        <w:gridCol w:w="603"/>
        <w:gridCol w:w="282"/>
        <w:gridCol w:w="1061"/>
        <w:gridCol w:w="157"/>
        <w:gridCol w:w="109"/>
        <w:gridCol w:w="109"/>
        <w:gridCol w:w="109"/>
        <w:gridCol w:w="399"/>
        <w:gridCol w:w="828"/>
        <w:gridCol w:w="317"/>
      </w:tblGrid>
      <w:tr>
        <w:trPr/>
        <w:tc>
          <w:tcPr>
            <w:tcW w:w="685"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As of </w:t>
            </w:r>
          </w:p>
        </w:tc>
      </w:tr>
      <w:tr>
        <w:trPr/>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YLDS in circulation</w:t>
            </w:r>
            <w:r>
              <w:rPr>
                <w:rFonts w:ascii="Times New Roman;serif" w:hAnsi="Times New Roman;serif"/>
                <w:b w:val="false"/>
                <w:color w:val="000000"/>
                <w:sz w:val="10"/>
              </w:rPr>
              <w:t>(1)</w:t>
            </w:r>
            <w:r>
              <w:rPr>
                <w:rFonts w:ascii="Times New Roman;serif" w:hAnsi="Times New Roman;serif"/>
                <w:b w:val="false"/>
                <w:color w:val="000000"/>
                <w:sz w:val="16"/>
              </w:rPr>
              <w:t>:</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328,193 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Democratized Prime:</w:t>
            </w:r>
          </w:p>
        </w:tc>
        <w:tc>
          <w:tcPr>
            <w:tcW w:w="15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Matched offers balance</w:t>
            </w:r>
            <w:r>
              <w:rPr>
                <w:rFonts w:ascii="Times New Roman;serif" w:hAnsi="Times New Roman;serif"/>
                <w:b w:val="false"/>
                <w:color w:val="000000"/>
                <w:sz w:val="10"/>
              </w:rPr>
              <w:t>(2)</w:t>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206,101 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n.m.</w:t>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Borrower demand</w:t>
            </w:r>
            <w:r>
              <w:rPr>
                <w:rFonts w:ascii="Times New Roman;serif" w:hAnsi="Times New Roman;serif"/>
                <w:b w:val="false"/>
                <w:color w:val="000000"/>
                <w:sz w:val="10"/>
              </w:rPr>
              <w:t>(3)</w:t>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246,382 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n.m.</w:t>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Available lender supply</w:t>
            </w:r>
            <w:r>
              <w:rPr>
                <w:rFonts w:ascii="Times New Roman;serif" w:hAnsi="Times New Roman;serif"/>
                <w:b w:val="false"/>
                <w:color w:val="000000"/>
                <w:sz w:val="10"/>
              </w:rPr>
              <w:t>(4)</w:t>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213,096 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n.m.</w:t>
            </w:r>
          </w:p>
        </w:tc>
      </w:tr>
    </w:tbl>
    <w:p>
      <w:pPr>
        <w:pStyle w:val="TextBody"/>
        <w:bidi w:val="0"/>
        <w:spacing w:lineRule="auto" w:line="288" w:before="0" w:after="0"/>
        <w:ind w:left="0" w:right="0" w:hanging="180"/>
        <w:jc w:val="both"/>
        <w:rPr>
          <w:rFonts w:ascii="Times New Roman;serif" w:hAnsi="Times New Roman;serif"/>
          <w:b w:val="false"/>
          <w:color w:val="000000"/>
          <w:sz w:val="16"/>
        </w:rPr>
      </w:pPr>
      <w:r>
        <w:rPr>
          <w:rFonts w:ascii="Times New Roman;serif" w:hAnsi="Times New Roman;serif"/>
          <w:b w:val="false"/>
          <w:color w:val="000000"/>
          <w:sz w:val="16"/>
        </w:rPr>
        <w:t>_______________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(1)We define YLDS in Circulation as the total U.S. dollar equivalent value of unsecured face-amount certificates solely backed by the assets of Figure Certificate Company (FCC), which is the issuer of the certificates.</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(2)We define Matched Offers as the U.S. dollar equivalent value of offers matched between borrower and lenders on the Democratized Prime platform.</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(3)We define Borrower Demand as the U.S. dollar equivalent value that borrowers seek to borrow from the lending pool on the Democratized Prime platform.</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(4)We define Lender Supply as the U.S. dollar equivalent value that lenders have made available in the lending pool on the Democratized Prime platform.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Trends and Other Factors Affecting Our Performance</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Market and Competitive Factors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Currently, our revenue is substantially derived from our HELOC product offering and from our LOS technology offering. The HELOC market is supported by positive trends across the housing market, largely from growing home equity balances and a mortgage borrower population that is characterized by low fixed-rate first lien mortgages, for which a cash-out refinancing is a less attractive alternative. Historically, consumers have primarily accessed home equity lending products through banks and other depository institutions, but in 2023, positive trends in the market landscape emerged as banks began to de-emphasize the product. Additionally, leading non-depository lenders that specialized in traditional mortgage products lacked the ability to effectively offer a consumer-friendly HELOC product to meet the demand of potential borrowers seeking to leverage their increased home equity value as a potential financing alternative. We believe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104" name="Frame1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103</w:t>
                      </w:r>
                    </w:p>
                  </w:txbxContent>
                </v:textbox>
                <w10:wrap type="none"/>
              </v:rect>
            </w:pict>
          </mc:Fallback>
        </mc:AlternateContent>
      </w:r>
    </w:p>
    <w:p>
      <w:pPr>
        <w:pStyle w:val="TextBody"/>
        <w:bidi w:val="0"/>
        <w:spacing w:lineRule="auto" w:line="288" w:before="0" w:after="180"/>
        <w:jc w:val="left"/>
        <w:rPr/>
      </w:pPr>
      <w:hyperlink w:anchor="i8e13d1b6f3764394b0e424082d2ac79f_7">
        <w:r>
          <w:rPr>
            <w:rStyle w:val="InternetLink"/>
            <w:rFonts w:ascii="Times New Roman;serif" w:hAnsi="Times New Roman;serif"/>
            <w:b w:val="false"/>
            <w:color w:val="000080"/>
            <w:sz w:val="20"/>
            <w:u w:val="single"/>
          </w:rPr>
          <w:t>Table of Content</w:t>
        </w:r>
      </w:hyperlink>
      <w:hyperlink w:anchor="i8e13d1b6f3764394b0e424082d2ac79f_7">
        <w:r>
          <w:rPr>
            <w:rStyle w:val="InternetLink"/>
            <w:rFonts w:ascii="Times New Roman;serif" w:hAnsi="Times New Roman;serif"/>
            <w:b w:val="false"/>
            <w:color w:val="000080"/>
            <w:sz w:val="20"/>
            <w:u w:val="single"/>
          </w:rPr>
          <w: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HELOC market will remain strong, as historically high housing values coupled with a historically low sales market have led consumers to search for ways to utilize the untapped equity in their homes. Figure continues to develop technology to provide its partners with solutions for any interest rate environment, and we expect the impact of rates on our business to decrease.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expect to continue to see new entrants in the market because of the significant size of the potential market opportunity and a broadly underserved universe of potential borrowers in the HELOC market. This trend has continued recently, most notably with originators of agency mortgages entering the market as mortgage refinance activity slowed. However, many of these entrants have struggled to gain traction, which we believe is due to their lack of technology, product expertise and capital markets capabilities necessary to effectively participate. With our suite of products and solutions centered around the vision of promoting efficiency and liquidity in financial markets we feel we are uniquely positioned to provide the infrastructure to support an efficiently functioning HELOC market. This has been evidenced by our performance to date: in 2025, we were the leading originator of HELOCs among non-depository lenders, in addition to providing the technology to power other originators through our Partner-branded strategies. </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Continued Expansion of our Ecosystem and Product Offerings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continue to expand our product offerings through the release of new consumer lending products centered around the proven technology utilized in HELOC origination and entrance into the broader capital markets, including a marketplace that allows partners to trade and invest in products across multiple asset classes. In addition to our HELOC product, we provide technology platforms giving consumers exposure to a variety of assets in an efficient and secure way. We intend to continue broadening our network of partners that originate with Figure’s technology. While our current roster of partners includes many of the largest mortgage originators across the country, we believe that we have significant room to grow those relationships as we drive adoption across their sales force and engrain our technology in their core offerings. Additionally, we see a substantial opportunity to further expand the group of companies that we partner with as our technology offering would benefit a diverse constituency (including mortgage originators, banks, credit unions, mortgage servicers and other consumer lenders). Our relationship with our partners is based on our partners’ right to use our solutions. Once a partner is approved and onboarded, the partner enters into a contractual agreement with us for the right to use our LOS and Figure Connect marketplace in exchange for fees. These agreements typically have a fixed term with auto-renewals unless notice is given to terminate, are non-exclusive and do not obligate our partners to use our solutions. As we launch new products, we expect to generate significant momentum by capitalizing on our proven track record, reputation and to our established network of partners to support our ability to quickly scale in adjacent products. </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Regulatory Environment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business is subject to regulations, which may expose us to significant regulatory risk and cause additional legal costs to ensure compliance. The existing legal framework that governs the financial markets is continuously reviewed and regularly amended, resulting in enforcement of new laws and regulations that apply to our business. The current regulatory environment in the United States may be subject to future legislative and regulatory changes driven by U.S. and global issues and priorities, including the recent change in U.S. administration and Congress, which may lead to material changes to existing laws, rules and regulations, guidance and enforcement stances. The impact of any changes in the legal or regulatory landscape on us and our operations remains uncertain. Compliance with regulations both now and in the future may require us to dedicate additional financial and operational resources, which may adversely affect our profitability. In addition, compliance with regulations may require our clients to dedicate significant financial and operational resources, which may negatively affect their ability to pay our fees and use our platforms and, as a result, our profitability. However, under certain circumstances regulation may increase demand for our platforms and solutions, and we believe we are well positioned to benefit from any potential increased digital transformation needs due to regulatory changes as market participants seek platforms that meet regulatory requirements and solutions that help them comply with their regulatory obligations. In recent years, we have also expended significant managerial, operational, and compliance costs to meet the legal and regulatory requirements applicable to us in the United States and other jurisdictions in which we operate. We expect to continue to incur costs to satisfy our legal and compliance obligations, which our unregulated or less regulated competitors have not had to and will not incur.</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Technology and Cybersecurity Environment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Offering a secure, efficient technology platform is essential to maintaining our level of competitiveness in the market and attracting new partners and marketplace participants. We believe that the demand for our platform and services will increase with the introduction of new products. We plan to continue to focus on and invest in technology infrastructure initiatives and continually improve and expand our platform to further enhance our market position. We experience cyber-threats and attempted security breaches. If these were successful, these cybersecurity incidents could impact revenue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105" name="Frame1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104</w:t>
                      </w:r>
                    </w:p>
                  </w:txbxContent>
                </v:textbox>
                <w10:wrap type="none"/>
              </v:rect>
            </w:pict>
          </mc:Fallback>
        </mc:AlternateContent>
      </w:r>
    </w:p>
    <w:p>
      <w:pPr>
        <w:pStyle w:val="TextBody"/>
        <w:bidi w:val="0"/>
        <w:spacing w:lineRule="auto" w:line="288" w:before="0" w:after="180"/>
        <w:jc w:val="left"/>
        <w:rPr/>
      </w:pPr>
      <w:hyperlink w:anchor="i8e13d1b6f3764394b0e424082d2ac79f_7">
        <w:r>
          <w:rPr>
            <w:rStyle w:val="InternetLink"/>
            <w:rFonts w:ascii="Times New Roman;serif" w:hAnsi="Times New Roman;serif"/>
            <w:b w:val="false"/>
            <w:color w:val="000080"/>
            <w:sz w:val="20"/>
            <w:u w:val="single"/>
          </w:rPr>
          <w:t>Table of Content</w:t>
        </w:r>
      </w:hyperlink>
      <w:hyperlink w:anchor="i8e13d1b6f3764394b0e424082d2ac79f_7">
        <w:r>
          <w:rPr>
            <w:rStyle w:val="InternetLink"/>
            <w:rFonts w:ascii="Times New Roman;serif" w:hAnsi="Times New Roman;serif"/>
            <w:b w:val="false"/>
            <w:color w:val="000080"/>
            <w:sz w:val="20"/>
            <w:u w:val="single"/>
          </w:rPr>
          <w: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operating income and increase costs. We therefore continue to make investments to strengthen our cybersecurity infrastructure, which may result in increased costs. </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Impact of Macroeconomic Cycles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Macroeconomic cycles can impact our financial performance and demand for our products. Consumer demand for loans, our partners’ willingness to originate new loans using our technology, investor appetite for credit-oriented investment opportunities, and credit performance can fluctuate in an economic slowdown. However, we believe the flexibility inherent in our platform will allow us to align our strategy with the market opportunity through cycles. Further, our technology-driven underwriting approach has proven effective, and our loans have demonstrated strong credit performance since inception.</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Effects of Inflation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While inflation may impact our revenues and operating expenses, we believe the effects of inflation, if any, on our results of operations and financial condition have not been significant during the years ended December 31, 2025 and 2024. However, there can be no assurance that our results of operations will not be materially impacted by inflation in the future.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Loan Characteristics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weighted-average characteristics of loans we originated or purchased for the years ended December 31, 2025 and 2024:</w:t>
      </w:r>
    </w:p>
    <w:tbl>
      <w:tblPr>
        <w:tblW w:w="5166" w:type="dxa"/>
        <w:jc w:val="left"/>
        <w:tblInd w:w="0" w:type="dxa"/>
        <w:tblLayout w:type="fixed"/>
        <w:tblCellMar>
          <w:top w:w="28" w:type="dxa"/>
          <w:left w:w="28" w:type="dxa"/>
          <w:bottom w:w="28" w:type="dxa"/>
          <w:right w:w="28" w:type="dxa"/>
        </w:tblCellMar>
      </w:tblPr>
      <w:tblGrid>
        <w:gridCol w:w="633"/>
        <w:gridCol w:w="559"/>
        <w:gridCol w:w="562"/>
        <w:gridCol w:w="109"/>
        <w:gridCol w:w="109"/>
        <w:gridCol w:w="227"/>
        <w:gridCol w:w="227"/>
        <w:gridCol w:w="408"/>
        <w:gridCol w:w="690"/>
        <w:gridCol w:w="502"/>
        <w:gridCol w:w="109"/>
        <w:gridCol w:w="109"/>
        <w:gridCol w:w="109"/>
        <w:gridCol w:w="196"/>
        <w:gridCol w:w="331"/>
        <w:gridCol w:w="286"/>
      </w:tblGrid>
      <w:tr>
        <w:trPr/>
        <w:tc>
          <w:tcPr>
            <w:tcW w:w="633"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4"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Years Ended December 31,</w:t>
            </w:r>
          </w:p>
        </w:tc>
        <w:tc>
          <w:tcPr>
            <w:tcW w:w="1140" w:type="dxa"/>
            <w:gridSpan w:val="6"/>
            <w:tcBorders/>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6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175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6"/>
              </w:rPr>
              <w:t>HELOC Loans</w:t>
            </w:r>
            <w:r>
              <w:rPr>
                <w:rFonts w:ascii="Times New Roman;serif" w:hAnsi="Times New Roman;serif"/>
                <w:b w:val="false"/>
                <w:color w:val="000000"/>
                <w:sz w:val="10"/>
              </w:rPr>
              <w:t>(1)</w:t>
            </w: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6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Partner-branded: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Loan Term (in months)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303 </w:t>
            </w:r>
          </w:p>
        </w:tc>
        <w:tc>
          <w:tcPr>
            <w:tcW w:w="5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325 </w:t>
            </w:r>
          </w:p>
        </w:tc>
        <w:tc>
          <w:tcPr>
            <w:tcW w:w="28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Customer Interest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9.2 </w:t>
            </w:r>
          </w:p>
        </w:tc>
        <w:tc>
          <w:tcPr>
            <w:tcW w:w="5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Customer FICO Score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755 </w:t>
            </w:r>
          </w:p>
        </w:tc>
        <w:tc>
          <w:tcPr>
            <w:tcW w:w="5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753 </w:t>
            </w:r>
          </w:p>
        </w:tc>
        <w:tc>
          <w:tcPr>
            <w:tcW w:w="28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Loan Balance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93 </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92 </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Figure-branded: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Loan Term (in months)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294 </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290 </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Customer Interest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9.1 </w:t>
            </w:r>
          </w:p>
        </w:tc>
        <w:tc>
          <w:tcPr>
            <w:tcW w:w="5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Customer FICO Score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748 </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740 </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Loan Balance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91 </w:t>
            </w:r>
          </w:p>
        </w:tc>
        <w:tc>
          <w:tcPr>
            <w:tcW w:w="5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(1)HELOC loans subject to monthly, amortizing borrower payments and may be prepaid and redrawn within a limited period of time. Personal, mortgage, and other loans are not considered significant.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loan counts held by the Company at December 31, 2025 and 2024:</w:t>
      </w:r>
    </w:p>
    <w:tbl>
      <w:tblPr>
        <w:tblW w:w="4493" w:type="dxa"/>
        <w:jc w:val="left"/>
        <w:tblInd w:w="0" w:type="dxa"/>
        <w:tblLayout w:type="fixed"/>
        <w:tblCellMar>
          <w:top w:w="28" w:type="dxa"/>
          <w:left w:w="28" w:type="dxa"/>
          <w:bottom w:w="28" w:type="dxa"/>
          <w:right w:w="28" w:type="dxa"/>
        </w:tblCellMar>
      </w:tblPr>
      <w:tblGrid>
        <w:gridCol w:w="782"/>
        <w:gridCol w:w="687"/>
        <w:gridCol w:w="691"/>
        <w:gridCol w:w="347"/>
        <w:gridCol w:w="223"/>
        <w:gridCol w:w="223"/>
        <w:gridCol w:w="223"/>
        <w:gridCol w:w="223"/>
        <w:gridCol w:w="223"/>
        <w:gridCol w:w="278"/>
        <w:gridCol w:w="278"/>
        <w:gridCol w:w="315"/>
      </w:tblGrid>
      <w:tr>
        <w:trPr/>
        <w:tc>
          <w:tcPr>
            <w:tcW w:w="782"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Years Ended December 31,</w:t>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6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Count of loans held for sale:</w:t>
            </w:r>
          </w:p>
        </w:tc>
        <w:tc>
          <w:tcPr>
            <w:tcW w:w="7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HELOC loans</w:t>
            </w:r>
          </w:p>
        </w:tc>
        <w:tc>
          <w:tcPr>
            <w:tcW w:w="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6,455 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4,582 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6"/>
              </w:rPr>
              <w:t>Personal loans</w:t>
            </w:r>
            <w:r>
              <w:rPr>
                <w:rFonts w:ascii="Times New Roman;serif" w:hAnsi="Times New Roman;serif"/>
                <w:b w:val="false"/>
                <w:color w:val="000000"/>
                <w:sz w:val="10"/>
              </w:rPr>
              <w:t>(1)</w:t>
            </w:r>
          </w:p>
        </w:tc>
        <w:tc>
          <w:tcPr>
            <w:tcW w:w="5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1,116 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233 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6"/>
              </w:rPr>
              <w:t>Other</w:t>
            </w:r>
            <w:r>
              <w:rPr>
                <w:rFonts w:ascii="Times New Roman;serif" w:hAnsi="Times New Roman;serif"/>
                <w:b w:val="false"/>
                <w:color w:val="000000"/>
                <w:sz w:val="10"/>
              </w:rPr>
              <w:t>(2)</w:t>
            </w:r>
          </w:p>
        </w:tc>
        <w:tc>
          <w:tcPr>
            <w:tcW w:w="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326 </w:t>
            </w:r>
          </w:p>
        </w:tc>
        <w:tc>
          <w:tcPr>
            <w:tcW w:w="31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loan count held for sale</w:t>
            </w:r>
          </w:p>
        </w:tc>
        <w:tc>
          <w:tcPr>
            <w:tcW w:w="57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7,739 </w:t>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5,141 </w:t>
            </w:r>
          </w:p>
        </w:tc>
        <w:tc>
          <w:tcPr>
            <w:tcW w:w="3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erif" w:hAnsi="Times New Roman;serif"/>
          <w:b w:val="false"/>
          <w:color w:val="000000"/>
          <w:sz w:val="10"/>
        </w:rPr>
        <w:t xml:space="preserve">(1) </w:t>
      </w:r>
      <w:r>
        <w:rPr>
          <w:rFonts w:ascii="Times New Roman;serif" w:hAnsi="Times New Roman;serif"/>
          <w:b w:val="false"/>
          <w:color w:val="000000"/>
          <w:sz w:val="16"/>
        </w:rPr>
        <w:t>Loans collateralized by digital assets.</w:t>
      </w:r>
    </w:p>
    <w:p>
      <w:pPr>
        <w:pStyle w:val="TextBody"/>
        <w:bidi w:val="0"/>
        <w:spacing w:lineRule="auto" w:line="288" w:before="0" w:after="180"/>
        <w:ind w:left="0" w:right="0" w:hanging="180"/>
        <w:jc w:val="both"/>
        <w:rPr/>
      </w:pPr>
      <w:r>
        <w:rPr>
          <w:rFonts w:ascii="Times New Roman;serif" w:hAnsi="Times New Roman;serif"/>
          <w:b w:val="false"/>
          <w:color w:val="000000"/>
          <w:sz w:val="10"/>
        </w:rPr>
        <w:t>(2)    </w:t>
      </w:r>
      <w:r>
        <w:rPr>
          <w:rFonts w:ascii="Times New Roman;serif" w:hAnsi="Times New Roman;serif"/>
          <w:b w:val="false"/>
          <w:color w:val="000000"/>
          <w:sz w:val="16"/>
        </w:rPr>
        <w:t>Primarily contains legacy mortgages and other unsecured loans.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Components of Results of Operation</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Net Revenue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net revenue is primarily derived from ecosystem and technology fees, loan originations and sales, including interest income earned thereon, and loan servicing.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106" name="Frame1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105</w:t>
                      </w:r>
                    </w:p>
                  </w:txbxContent>
                </v:textbox>
                <w10:wrap type="none"/>
              </v:rect>
            </w:pict>
          </mc:Fallback>
        </mc:AlternateContent>
      </w:r>
    </w:p>
    <w:p>
      <w:pPr>
        <w:pStyle w:val="TextBody"/>
        <w:bidi w:val="0"/>
        <w:spacing w:lineRule="auto" w:line="288" w:before="0" w:after="180"/>
        <w:jc w:val="left"/>
        <w:rPr/>
      </w:pPr>
      <w:hyperlink w:anchor="i8e13d1b6f3764394b0e424082d2ac79f_7">
        <w:r>
          <w:rPr>
            <w:rStyle w:val="InternetLink"/>
            <w:rFonts w:ascii="Times New Roman;serif" w:hAnsi="Times New Roman;serif"/>
            <w:b w:val="false"/>
            <w:color w:val="000080"/>
            <w:sz w:val="20"/>
            <w:u w:val="single"/>
          </w:rPr>
          <w:t>Table of Content</w:t>
        </w:r>
      </w:hyperlink>
      <w:hyperlink w:anchor="i8e13d1b6f3764394b0e424082d2ac79f_7">
        <w:r>
          <w:rPr>
            <w:rStyle w:val="InternetLink"/>
            <w:rFonts w:ascii="Times New Roman;serif" w:hAnsi="Times New Roman;serif"/>
            <w:b w:val="false"/>
            <w:color w:val="000080"/>
            <w:sz w:val="20"/>
            <w:u w:val="single"/>
          </w:rPr>
          <w:t>s</w:t>
        </w:r>
      </w:hyperlink>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Ecosystem and Technology Fees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Through our Partner-branded channel, we earn volume-based technology and processing fees, based on the principal balance of each loan originated on our LOS and the principal balance of loans transacted on Figure Connect. Such fees arise from contracts entered into with partners to provide access to a cloud-based lending marketplace platform that is developed by us. Our platform enables partners, who are retail and wholesale lenders, to originate loans branded under the partners’ name, by having access to a suite of services such as submission of loan applications, verifying information provided within submitted applications, risk underwriting, delivery of electronic loan offers, and electronic loan documentation signed by the borrower.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also earn a fee for arranging and facilitating the securitization of HELOCs based on the outstanding principal balance of the transferred HELOCs, which is fully earned on the securitization closing date. Program fees are paid by the trust as the fees are earned and paid upon closing. </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Origination Fees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Origination fees consist of the fees that we earn from originating loans upon the customer’s initial loan draw. Origination fees include loan origination fees and other fees collected from the customer at the time a loan is funded. Origination fees are currently calculated as a percentage of the customer’s initial loan balance and are recognized as revenue at a specified point in time, once a customer’s loan application has been approved, a credit decision has been reached, and the loan has been funded and processed. These fees are earned through both our Figure-branded channel as well as our Partner-branded channel through wholesale brokers.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Servicing Fees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Servicing fees and other revenue consist of the fees that we earn from managing loan portfolios on behalf of the owners of those portfolios. Servicing fees are calculated based on a contractual percentage of the outstanding principal under servicing arrangements and are charged monthly pursuant to our servicing agreements for activities we perform throughout the loan term, including collection, processing and reconciliations of payments received, investor reporting, and customer support. We act as servicer for the majority of the loans facilitated through our platform.</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Gain on Sale of Loans, net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Gain on sale of loans consists of the net proceeds from the difference between the proceeds received at the sale of loans to third-party buyers, and the unpaid principal balance of such loans, including adjustments for changes in fair value for loans sold during the period. These realized and unrealized gains or losses and fair value adjustments are recognized through both our Figure-branded and Partner-branded channels based on the fair value of the loan originated by us, or purchased from partners, generally represented by the consideration paid relative to the loans’ estimated fair value at each quarter end or consideration received upon sale.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have elected the fair value option for both the Figure-branded loans we originate as well as the Partner-branded loans we purchase from our partners that we hold for sale. Loans held for sale consist of loans we intend to sell, including HELOCs, personal loan products, and mortgage loans we previously originated or purchased. HELOCs and mortgage loans are secured by first or junior liens on customers’ real property. Any changes in fair value relating to loans held for sale are included in our results of operations as net fair value adjustments.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Interest Income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earn interest income primarily from the following sources: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u w:val="single"/>
        </w:rPr>
        <w:t>Loans</w:t>
      </w:r>
      <w:r>
        <w:rPr>
          <w:color w:val="000000"/>
        </w:rPr>
        <w:t xml:space="preserve"> — </w:t>
      </w:r>
      <w:r>
        <w:rPr>
          <w:rFonts w:ascii="Times New Roman;serif" w:hAnsi="Times New Roman;serif"/>
          <w:b w:val="false"/>
          <w:color w:val="000000"/>
          <w:sz w:val="20"/>
        </w:rPr>
        <w:t>We accrue interest income on loans we hold based on the UPB outstanding at contractual interest rates. We place loans on nonaccrual status when they become 90 days past due (30 days past due for collateralized personal loans) or when we doubt full recovery of interest and principal. Loans are considered past due when contractually required principal or interest payments have not been made on the due dates. When a loan is placed on nonaccrual status, the accrued and unpaid interest is reversed as a reduction of interest income and accrued interest receivable. Interest income is subsequently recognized only to the extent cash payments are received or when the loan has been placed back in accrual status. Loans are restored to accrual status when the loan becomes current and we expect repayment of the remaining contractual principal and interest. We also recognize cash received on non-accrual loans as interest income after all contractual principal is repaid.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107" name="Frame10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106</w:t>
                      </w:r>
                    </w:p>
                  </w:txbxContent>
                </v:textbox>
                <w10:wrap type="none"/>
              </v:rect>
            </w:pict>
          </mc:Fallback>
        </mc:AlternateContent>
      </w:r>
    </w:p>
    <w:p>
      <w:pPr>
        <w:pStyle w:val="TextBody"/>
        <w:bidi w:val="0"/>
        <w:spacing w:lineRule="auto" w:line="288" w:before="0" w:after="180"/>
        <w:jc w:val="left"/>
        <w:rPr/>
      </w:pPr>
      <w:hyperlink w:anchor="i8e13d1b6f3764394b0e424082d2ac79f_7">
        <w:r>
          <w:rPr>
            <w:rStyle w:val="InternetLink"/>
            <w:rFonts w:ascii="Times New Roman;serif" w:hAnsi="Times New Roman;serif"/>
            <w:b w:val="false"/>
            <w:color w:val="000080"/>
            <w:sz w:val="20"/>
            <w:u w:val="single"/>
          </w:rPr>
          <w:t>Table of Content</w:t>
        </w:r>
      </w:hyperlink>
      <w:hyperlink w:anchor="i8e13d1b6f3764394b0e424082d2ac79f_7">
        <w:r>
          <w:rPr>
            <w:rStyle w:val="InternetLink"/>
            <w:rFonts w:ascii="Times New Roman;serif" w:hAnsi="Times New Roman;serif"/>
            <w:b w:val="false"/>
            <w:color w:val="000080"/>
            <w:sz w:val="20"/>
            <w:u w:val="single"/>
          </w:rPr>
          <w:t>s</w:t>
        </w:r>
      </w:hyperlink>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u w:val="single"/>
        </w:rPr>
        <w:t>Marketable Securities</w:t>
      </w:r>
      <w:r>
        <w:rPr>
          <w:color w:val="000000"/>
        </w:rPr>
        <w:t xml:space="preserve"> — </w:t>
      </w:r>
      <w:r>
        <w:rPr>
          <w:rFonts w:ascii="Times New Roman;serif" w:hAnsi="Times New Roman;serif"/>
          <w:b w:val="false"/>
          <w:color w:val="000000"/>
          <w:sz w:val="20"/>
        </w:rPr>
        <w:t xml:space="preserve">We recognize interest income on the debt securities we hold where we expect to collect all contractual cash flows, and the debt security cannot be contractually prepaid in such a way that we would not recover substantially all of our recorded investment, based on the stated coupon rate and the outstanding principal amount of the debt security. We recognize interest income on beneficial interests based on the investment’s accretable yield, which represents the difference between the expected undiscounted cash flows and the carrying value of the investment. We recognize the accretable yield as interest income on a prospective level yield basis over the life of the expected cash flows. Changes in the amount or timing of actual or expected cash flows may change the accretable yield, and we adjust interest income recognized in future periods using a recalculated level yield applied to the then-current carrying value. Increases (decreases) in the amount of cash flows or acceleration (deceleration) of cash flows, in isolation, generally increase (decrease) the interest income recognized in future periods.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u w:val="single"/>
        </w:rPr>
        <w:t>Cash and Cash Equivalents</w:t>
      </w:r>
      <w:r>
        <w:rPr>
          <w:color w:val="000000"/>
        </w:rPr>
        <w:t xml:space="preserve"> — </w:t>
      </w:r>
      <w:r>
        <w:rPr>
          <w:rFonts w:ascii="Times New Roman;serif" w:hAnsi="Times New Roman;serif"/>
          <w:b w:val="false"/>
          <w:color w:val="000000"/>
          <w:sz w:val="20"/>
        </w:rPr>
        <w:t>We accrue interest income monthly for cash held at depository institutions and investments in short-term instruments, such as money-market funds and U.S. Treasury Bills, and through repurchase agreements that are collateralized by U.S. Treasury Bills.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Gain on Servicing Asset, net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routinely sell HELOCs, and in the past we have also sold personal loans, mortgage loans and Figure Pay credit loans, with servicing rights retained. Figure Pay credit loans are short duration, installment loans that consumers can use at their discretion. Loan servicing activities include account maintenance, collections, processing payments from customers, and distributions to third-party loan owners. During each reporting period, a servicing asset is recognized when the benefits of servicing are determined to be greater than adequate compensation for the servicing activities that we perform, and conversely, a servicing liability is recognized if the benefits of servicing are determined to be less than adequate compensation for the servicing activities that we perform. We carry servicing assets at fair value. Any changes in the fair value are included in our results of operations as net fair value adjustments. These gains are recognized through both our Figure-branded and Partner-branded channels.</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Operating Expenses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Operating expenses consist of general and administrative, technology and product development, operations and processing, sales and marketing, and interest expenses. </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General and Administrative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General and administrative expenses primarily consist of payroll and other personnel-related costs, including stock-based compensation, legal and compliance, finance and accounting, human resources and facilities teams, professional services fees, facilities, and travel expenses. We expect general and administrative expenses to increase in the near-term as we continue to grow our business as well as a result of our transition to being a public reporting company.</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Technology and Product Development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Technology and product development expenses primarily consist of payroll and other personnel-related costs, including stock-based compensation, for our product, engineering, and design team, which is responsible for maintenance, bug fixes and software updates among others, as well as the costs of systems and tools used by these personnel. We expect technology and product development expenses to increase as we continue to grow our business and expand our product, engineering, and design teams as we continue to enhance and expand our technology and product offerings.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Operations and Processing</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Operations and processing expenses primarily consist of payroll and other personnel-related costs, including stock-based compensation for personnel engaged in onboarding, loan servicing, customer support and other related operational teams. These expenses also include the costs of third-party systems and tools we use as part of the loan origination process, including information verification, fraud detection, and payment processing activities. We expect operations and processing expenses to increase as we continue to grow our business and expand our product offerings.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108" name="Frame10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107</w:t>
                      </w:r>
                    </w:p>
                  </w:txbxContent>
                </v:textbox>
                <w10:wrap type="none"/>
              </v:rect>
            </w:pict>
          </mc:Fallback>
        </mc:AlternateContent>
      </w:r>
    </w:p>
    <w:p>
      <w:pPr>
        <w:pStyle w:val="TextBody"/>
        <w:bidi w:val="0"/>
        <w:spacing w:lineRule="auto" w:line="288" w:before="0" w:after="180"/>
        <w:jc w:val="left"/>
        <w:rPr/>
      </w:pPr>
      <w:hyperlink w:anchor="i8e13d1b6f3764394b0e424082d2ac79f_7">
        <w:r>
          <w:rPr>
            <w:rStyle w:val="InternetLink"/>
            <w:rFonts w:ascii="Times New Roman;serif" w:hAnsi="Times New Roman;serif"/>
            <w:b w:val="false"/>
            <w:color w:val="000080"/>
            <w:sz w:val="20"/>
            <w:u w:val="single"/>
          </w:rPr>
          <w:t>Table of Content</w:t>
        </w:r>
      </w:hyperlink>
      <w:hyperlink w:anchor="i8e13d1b6f3764394b0e424082d2ac79f_7">
        <w:r>
          <w:rPr>
            <w:rStyle w:val="InternetLink"/>
            <w:rFonts w:ascii="Times New Roman;serif" w:hAnsi="Times New Roman;serif"/>
            <w:b w:val="false"/>
            <w:color w:val="000080"/>
            <w:sz w:val="20"/>
            <w:u w:val="single"/>
          </w:rPr>
          <w:t>s</w:t>
        </w:r>
      </w:hyperlink>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Sales and Marketing</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Sales and marketing expenses primarily consist of costs incurred across various advertising channels, including expenses associated with advertising campaigns, and building overall brand awareness. Sales and marketing expenses also include payroll and other personnel-related costs, including stock-based compensation expense, for our sales and marketing personnel. </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Interest Expense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Interest expense consists of the costs we incur on our borrowings, amortization of fees, and other costs associated with our debt obligations. It also includes interest accrued and paid to holders of YLDS in the form of additional YLDS.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Other Expense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have contractual agreements with loan buyers to repurchase loans under certain circumstances, including in the event of borrower delinquencies within the first 30 to 90 days of loan origination. We record a loss on those loans based on the fair value at the date on which we identify the repurchase obligation.</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Other (expense) income, net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Other (expense) income, net includes unrealized and realized gains (losses) resulting from transactions of certain digital assets, litigation settlements, adjustments to non-equity method investments, foreign exchange rate gains (losses) and other non-income based state and local taxes.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Consolidated Statements of Operations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our Consolidated Statements of Operations for the periods presented:</w:t>
      </w:r>
    </w:p>
    <w:tbl>
      <w:tblPr>
        <w:tblW w:w="10205" w:type="dxa"/>
        <w:jc w:val="left"/>
        <w:tblInd w:w="0" w:type="dxa"/>
        <w:tblLayout w:type="fixed"/>
        <w:tblCellMar>
          <w:top w:w="28" w:type="dxa"/>
          <w:left w:w="28" w:type="dxa"/>
          <w:bottom w:w="28" w:type="dxa"/>
          <w:right w:w="28" w:type="dxa"/>
        </w:tblCellMar>
      </w:tblPr>
      <w:tblGrid>
        <w:gridCol w:w="1277"/>
        <w:gridCol w:w="1023"/>
        <w:gridCol w:w="1030"/>
        <w:gridCol w:w="109"/>
        <w:gridCol w:w="109"/>
        <w:gridCol w:w="109"/>
        <w:gridCol w:w="109"/>
        <w:gridCol w:w="460"/>
        <w:gridCol w:w="460"/>
        <w:gridCol w:w="461"/>
        <w:gridCol w:w="109"/>
        <w:gridCol w:w="196"/>
        <w:gridCol w:w="736"/>
        <w:gridCol w:w="109"/>
        <w:gridCol w:w="109"/>
        <w:gridCol w:w="109"/>
        <w:gridCol w:w="109"/>
        <w:gridCol w:w="196"/>
        <w:gridCol w:w="646"/>
        <w:gridCol w:w="109"/>
        <w:gridCol w:w="109"/>
        <w:gridCol w:w="109"/>
        <w:gridCol w:w="109"/>
        <w:gridCol w:w="196"/>
        <w:gridCol w:w="736"/>
        <w:gridCol w:w="109"/>
        <w:gridCol w:w="109"/>
        <w:gridCol w:w="109"/>
        <w:gridCol w:w="109"/>
        <w:gridCol w:w="323"/>
        <w:gridCol w:w="323"/>
        <w:gridCol w:w="289"/>
      </w:tblGrid>
      <w:tr>
        <w:trPr/>
        <w:tc>
          <w:tcPr>
            <w:tcW w:w="1277"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Years Ended December 31,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2630" w:type="dxa"/>
            <w:gridSpan w:val="12"/>
            <w:tcBorders/>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6"/>
              </w:rPr>
            </w:pPr>
            <w:r>
              <w:rPr>
                <w:rFonts w:ascii="Times New Roman;serif" w:hAnsi="Times New Roman;serif"/>
                <w:b w:val="false"/>
                <w:i/>
                <w:color w:val="000000"/>
                <w:sz w:val="16"/>
              </w:rPr>
              <w:t>(In thousands, except percentages)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w:t>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Ecosystem and technology fees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120,808 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28,314 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92,494 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326.7 </w:t>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Servicing fees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31,540 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25,245 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24.9 </w:t>
            </w:r>
          </w:p>
        </w:tc>
        <w:tc>
          <w:tcPr>
            <w:tcW w:w="28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74,810 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26,603 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55.2 </w:t>
            </w:r>
          </w:p>
        </w:tc>
        <w:tc>
          <w:tcPr>
            <w:tcW w:w="28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Origination fees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72,536 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64,867 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11.8 </w:t>
            </w:r>
          </w:p>
        </w:tc>
        <w:tc>
          <w:tcPr>
            <w:tcW w:w="28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Gain on sale of loans,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180,024 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39,671 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28.3 </w:t>
            </w:r>
          </w:p>
        </w:tc>
        <w:tc>
          <w:tcPr>
            <w:tcW w:w="28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Gain on servicing asset,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24,567 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32,637 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(24.7)</w:t>
            </w:r>
          </w:p>
        </w:tc>
        <w:tc>
          <w:tcPr>
            <w:tcW w:w="28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104.4 </w:t>
            </w:r>
          </w:p>
        </w:tc>
        <w:tc>
          <w:tcPr>
            <w:tcW w:w="28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net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506,865 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340,885 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165,980 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48.7 </w:t>
            </w:r>
          </w:p>
        </w:tc>
        <w:tc>
          <w:tcPr>
            <w:tcW w:w="28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131,971 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104,251 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27,720 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26.6 </w:t>
            </w:r>
          </w:p>
        </w:tc>
        <w:tc>
          <w:tcPr>
            <w:tcW w:w="28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Technology and product development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64,922 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62,657 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3.6 </w:t>
            </w:r>
          </w:p>
        </w:tc>
        <w:tc>
          <w:tcPr>
            <w:tcW w:w="28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Operations and processing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65,056 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44,452 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46.4 </w:t>
            </w:r>
          </w:p>
        </w:tc>
        <w:tc>
          <w:tcPr>
            <w:tcW w:w="28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Sales and marketing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76,094 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55,657 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36.7 </w:t>
            </w:r>
          </w:p>
        </w:tc>
        <w:tc>
          <w:tcPr>
            <w:tcW w:w="28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48,870 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56,415 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w:t>
            </w:r>
          </w:p>
        </w:tc>
        <w:tc>
          <w:tcPr>
            <w:tcW w:w="28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(70.5)</w:t>
            </w:r>
          </w:p>
        </w:tc>
        <w:tc>
          <w:tcPr>
            <w:tcW w:w="28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389,338 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331,650 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57,688 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17.4 </w:t>
            </w:r>
          </w:p>
        </w:tc>
        <w:tc>
          <w:tcPr>
            <w:tcW w:w="28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117,527 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108,292 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1172.6 </w:t>
            </w:r>
          </w:p>
        </w:tc>
        <w:tc>
          <w:tcPr>
            <w:tcW w:w="28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(expense) income,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16"/>
              </w:rPr>
            </w:pPr>
            <w:r>
              <w:rPr>
                <w:rFonts w:ascii="Times New Roman;serif" w:hAnsi="Times New Roman;serif"/>
                <w:b w:val="false"/>
                <w:color w:val="000000"/>
                <w:sz w:val="16"/>
              </w:rPr>
              <w:t>n.m.</w:t>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113,675 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91,583 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414.6 </w:t>
            </w:r>
          </w:p>
        </w:tc>
        <w:tc>
          <w:tcPr>
            <w:tcW w:w="28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 (benefit) provision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(22,783)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16"/>
              </w:rPr>
            </w:pPr>
            <w:r>
              <w:rPr>
                <w:rFonts w:ascii="Times New Roman;serif" w:hAnsi="Times New Roman;serif"/>
                <w:b w:val="false"/>
                <w:color w:val="000000"/>
                <w:sz w:val="16"/>
              </w:rPr>
              <w:t>n.m.</w:t>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134,281 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114,366 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574.3 </w:t>
            </w:r>
          </w:p>
        </w:tc>
        <w:tc>
          <w:tcPr>
            <w:tcW w:w="28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 attributable to noncontrolling interests in consolidated subsidiaries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(84.3)</w:t>
            </w:r>
          </w:p>
        </w:tc>
        <w:tc>
          <w:tcPr>
            <w:tcW w:w="28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attributable to Figure Technology Solutions, Inc.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133,858 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17,214 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116,644 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677.6 </w:t>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109" name="Frame10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108</w:t>
                      </w:r>
                    </w:p>
                  </w:txbxContent>
                </v:textbox>
                <w10:wrap type="none"/>
              </v:rect>
            </w:pict>
          </mc:Fallback>
        </mc:AlternateContent>
      </w:r>
    </w:p>
    <w:p>
      <w:pPr>
        <w:pStyle w:val="TextBody"/>
        <w:bidi w:val="0"/>
        <w:spacing w:lineRule="auto" w:line="288" w:before="0" w:after="180"/>
        <w:jc w:val="left"/>
        <w:rPr/>
      </w:pPr>
      <w:hyperlink w:anchor="i8e13d1b6f3764394b0e424082d2ac79f_7">
        <w:r>
          <w:rPr>
            <w:rStyle w:val="InternetLink"/>
            <w:rFonts w:ascii="Times New Roman;serif" w:hAnsi="Times New Roman;serif"/>
            <w:b w:val="false"/>
            <w:color w:val="000080"/>
            <w:sz w:val="20"/>
            <w:u w:val="single"/>
          </w:rPr>
          <w:t>Table of Content</w:t>
        </w:r>
      </w:hyperlink>
      <w:hyperlink w:anchor="i8e13d1b6f3764394b0e424082d2ac79f_7">
        <w:r>
          <w:rPr>
            <w:rStyle w:val="InternetLink"/>
            <w:rFonts w:ascii="Times New Roman;serif" w:hAnsi="Times New Roman;serif"/>
            <w:b w:val="false"/>
            <w:color w:val="000080"/>
            <w:sz w:val="20"/>
            <w:u w:val="single"/>
          </w:rPr>
          <w:t>s</w:t>
        </w:r>
      </w:hyperlink>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Net Revenue</w:t>
      </w:r>
    </w:p>
    <w:p>
      <w:pPr>
        <w:pStyle w:val="TextBody"/>
        <w:bidi w:val="0"/>
        <w:spacing w:lineRule="auto" w:line="288" w:before="0" w:after="18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Ecosystem and technology fees</w:t>
      </w:r>
    </w:p>
    <w:tbl>
      <w:tblPr>
        <w:tblW w:w="10205" w:type="dxa"/>
        <w:jc w:val="left"/>
        <w:tblInd w:w="0" w:type="dxa"/>
        <w:tblLayout w:type="fixed"/>
        <w:tblCellMar>
          <w:top w:w="28" w:type="dxa"/>
          <w:left w:w="28" w:type="dxa"/>
          <w:bottom w:w="28" w:type="dxa"/>
          <w:right w:w="28" w:type="dxa"/>
        </w:tblCellMar>
      </w:tblPr>
      <w:tblGrid>
        <w:gridCol w:w="963"/>
        <w:gridCol w:w="847"/>
        <w:gridCol w:w="853"/>
        <w:gridCol w:w="109"/>
        <w:gridCol w:w="109"/>
        <w:gridCol w:w="109"/>
        <w:gridCol w:w="109"/>
        <w:gridCol w:w="682"/>
        <w:gridCol w:w="682"/>
        <w:gridCol w:w="683"/>
        <w:gridCol w:w="109"/>
        <w:gridCol w:w="196"/>
        <w:gridCol w:w="736"/>
        <w:gridCol w:w="109"/>
        <w:gridCol w:w="109"/>
        <w:gridCol w:w="109"/>
        <w:gridCol w:w="109"/>
        <w:gridCol w:w="196"/>
        <w:gridCol w:w="646"/>
        <w:gridCol w:w="109"/>
        <w:gridCol w:w="109"/>
        <w:gridCol w:w="109"/>
        <w:gridCol w:w="109"/>
        <w:gridCol w:w="196"/>
        <w:gridCol w:w="646"/>
        <w:gridCol w:w="109"/>
        <w:gridCol w:w="109"/>
        <w:gridCol w:w="109"/>
        <w:gridCol w:w="109"/>
        <w:gridCol w:w="368"/>
        <w:gridCol w:w="368"/>
        <w:gridCol w:w="290"/>
      </w:tblGrid>
      <w:tr>
        <w:trPr/>
        <w:tc>
          <w:tcPr>
            <w:tcW w:w="963"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2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Years Ended December 31,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2631" w:type="dxa"/>
            <w:gridSpan w:val="12"/>
            <w:tcBorders/>
          </w:tcPr>
          <w:p>
            <w:pPr>
              <w:pStyle w:val="TableContents"/>
              <w:bidi w:val="0"/>
              <w:spacing w:before="0" w:after="283"/>
              <w:jc w:val="left"/>
              <w:rPr>
                <w:sz w:val="4"/>
                <w:szCs w:val="4"/>
              </w:rPr>
            </w:pPr>
            <w:r>
              <w:rPr>
                <w:sz w:val="4"/>
                <w:szCs w:val="4"/>
              </w:rPr>
            </w:r>
          </w:p>
        </w:tc>
      </w:tr>
      <w:tr>
        <w:trPr/>
        <w:tc>
          <w:tcPr>
            <w:tcW w:w="26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6"/>
              </w:rPr>
            </w:pPr>
            <w:r>
              <w:rPr>
                <w:rFonts w:ascii="Times New Roman;serif" w:hAnsi="Times New Roman;serif"/>
                <w:b w:val="false"/>
                <w:i/>
                <w:color w:val="000000"/>
                <w:sz w:val="16"/>
              </w:rPr>
              <w:t>(In thousands, except percentages)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w:t>
            </w:r>
          </w:p>
        </w:tc>
      </w:tr>
      <w:tr>
        <w:trPr/>
        <w:tc>
          <w:tcPr>
            <w:tcW w:w="26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Technology offering fees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50,646 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30,458 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150.9 </w:t>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6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Ecosystem fees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56,817 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56,695 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46471.3 </w:t>
            </w:r>
          </w:p>
        </w:tc>
        <w:tc>
          <w:tcPr>
            <w:tcW w:w="29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Program fees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66.7 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ecosystem and technology fees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120,808 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28,314 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92,494 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326.7 </w:t>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bl>
    <w:p>
      <w:pPr>
        <w:pStyle w:val="TextBody"/>
        <w:bidi w:val="0"/>
        <w:spacing w:lineRule="auto" w:line="288" w:before="0" w:after="18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Ecosystem and technology fees</w:t>
      </w:r>
    </w:p>
    <w:p>
      <w:pPr>
        <w:pStyle w:val="TextBody"/>
        <w:bidi w:val="0"/>
        <w:spacing w:lineRule="auto" w:line="288" w:before="0" w:after="18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Ecosystem and technology fees increased $92.5 million, or 326.7%, primarily due to the growth in Figure Connect Volume, as well as a $5.3 million increase in program fees due to an $1.2 billion increase in the volume of securitizations for which we earn program fees.</w:t>
      </w:r>
    </w:p>
    <w:p>
      <w:pPr>
        <w:pStyle w:val="TextBody"/>
        <w:bidi w:val="0"/>
        <w:spacing w:lineRule="auto" w:line="288" w:before="0" w:after="18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Servicing fees</w:t>
      </w:r>
    </w:p>
    <w:p>
      <w:pPr>
        <w:pStyle w:val="TextBody"/>
        <w:bidi w:val="0"/>
        <w:spacing w:lineRule="auto" w:line="288" w:before="0" w:after="18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Servicing fees increased $6.3 million, or 24.9%, due to a $4.8 billion, or 59.7%, increase in the weighted-average servicing portfolio unpaid principal HELOC loan balance of $12.9 billion serviced at December 31, 2025, compared to $8.1 billion at December 31, 2024, partially offset by a decrease of 3 basis points in the weighted average servicing fee rate from 34 basis points to 31 basis points.</w:t>
      </w:r>
    </w:p>
    <w:p>
      <w:pPr>
        <w:pStyle w:val="TextBody"/>
        <w:bidi w:val="0"/>
        <w:spacing w:lineRule="auto" w:line="288" w:before="0" w:after="180"/>
        <w:jc w:val="both"/>
        <w:rPr>
          <w:rFonts w:ascii="Times New Roman;serif" w:hAnsi="Times New Roman;serif"/>
          <w:b w:val="false"/>
          <w:color w:val="000000"/>
          <w:sz w:val="20"/>
          <w:u w:val="single"/>
          <w:shd w:fill="FFFFFF" w:val="clear"/>
        </w:rPr>
      </w:pPr>
      <w:r>
        <w:rPr>
          <w:rFonts w:ascii="Times New Roman;serif" w:hAnsi="Times New Roman;serif"/>
          <w:b w:val="false"/>
          <w:color w:val="000000"/>
          <w:sz w:val="20"/>
          <w:u w:val="single"/>
          <w:shd w:fill="FFFFFF" w:val="clear"/>
        </w:rPr>
        <w:t>Interest income</w:t>
      </w:r>
    </w:p>
    <w:p>
      <w:pPr>
        <w:pStyle w:val="TextBody"/>
        <w:bidi w:val="0"/>
        <w:spacing w:lineRule="auto" w:line="288" w:before="0" w:after="18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Interest income increased $26.6 million, or 55.2%, when comparing the year ended December 31, 2025 to the year ended December 31, 2024, primarily due to an $15.0 million increase in interest earned on marketable securities held as we have progressively securitized loans on our platform and retained certain interests, in addition to a $7.4 million increase in interest earned on cash balances, and a $2.5 million increase in interest earned on HELOC and personal loans we hold.</w:t>
      </w:r>
    </w:p>
    <w:p>
      <w:pPr>
        <w:pStyle w:val="TextBody"/>
        <w:bidi w:val="0"/>
        <w:spacing w:lineRule="auto" w:line="288" w:before="0" w:after="18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Origination fees</w:t>
      </w:r>
    </w:p>
    <w:p>
      <w:pPr>
        <w:pStyle w:val="TextBody"/>
        <w:bidi w:val="0"/>
        <w:spacing w:lineRule="auto" w:line="288" w:before="0" w:after="180"/>
        <w:jc w:val="both"/>
        <w:rPr/>
      </w:pPr>
      <w:r>
        <w:rPr>
          <w:rFonts w:ascii="Times New Roman;serif" w:hAnsi="Times New Roman;serif"/>
          <w:b w:val="false"/>
          <w:color w:val="000000"/>
          <w:sz w:val="20"/>
          <w:shd w:fill="FFFFFF" w:val="clear"/>
        </w:rPr>
        <w:t xml:space="preserve">Net origination fees increased $7.7 million or 11.8%, primarily due to a 17.5% </w:t>
      </w:r>
      <w:r>
        <w:rPr>
          <w:rFonts w:ascii="Times New Roman;serif" w:hAnsi="Times New Roman;serif"/>
          <w:b w:val="false"/>
          <w:color w:val="000000"/>
          <w:sz w:val="20"/>
        </w:rPr>
        <w:t>increase</w:t>
      </w:r>
      <w:r>
        <w:rPr>
          <w:color w:val="000000"/>
          <w:shd w:fill="FFFFFF" w:val="clear"/>
        </w:rPr>
        <w:t xml:space="preserve"> </w:t>
      </w:r>
      <w:r>
        <w:rPr>
          <w:rFonts w:ascii="Times New Roman;serif" w:hAnsi="Times New Roman;serif"/>
          <w:b w:val="false"/>
          <w:color w:val="000000"/>
          <w:sz w:val="20"/>
          <w:shd w:fill="FFFFFF" w:val="clear"/>
        </w:rPr>
        <w:t>in Figure-branded volume over the period.</w:t>
      </w:r>
    </w:p>
    <w:p>
      <w:pPr>
        <w:pStyle w:val="TextBody"/>
        <w:bidi w:val="0"/>
        <w:spacing w:lineRule="auto" w:line="288" w:before="0" w:after="18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Gain on sale of loans, net</w:t>
      </w:r>
    </w:p>
    <w:tbl>
      <w:tblPr>
        <w:tblW w:w="9973" w:type="dxa"/>
        <w:jc w:val="left"/>
        <w:tblInd w:w="0" w:type="dxa"/>
        <w:tblLayout w:type="fixed"/>
        <w:tblCellMar>
          <w:top w:w="28" w:type="dxa"/>
          <w:left w:w="28" w:type="dxa"/>
          <w:bottom w:w="28" w:type="dxa"/>
          <w:right w:w="28" w:type="dxa"/>
        </w:tblCellMar>
      </w:tblPr>
      <w:tblGrid>
        <w:gridCol w:w="916"/>
        <w:gridCol w:w="806"/>
        <w:gridCol w:w="812"/>
        <w:gridCol w:w="109"/>
        <w:gridCol w:w="109"/>
        <w:gridCol w:w="109"/>
        <w:gridCol w:w="109"/>
        <w:gridCol w:w="684"/>
        <w:gridCol w:w="684"/>
        <w:gridCol w:w="686"/>
        <w:gridCol w:w="109"/>
        <w:gridCol w:w="196"/>
        <w:gridCol w:w="736"/>
        <w:gridCol w:w="109"/>
        <w:gridCol w:w="109"/>
        <w:gridCol w:w="109"/>
        <w:gridCol w:w="109"/>
        <w:gridCol w:w="196"/>
        <w:gridCol w:w="736"/>
        <w:gridCol w:w="109"/>
        <w:gridCol w:w="109"/>
        <w:gridCol w:w="109"/>
        <w:gridCol w:w="109"/>
        <w:gridCol w:w="196"/>
        <w:gridCol w:w="646"/>
        <w:gridCol w:w="109"/>
        <w:gridCol w:w="109"/>
        <w:gridCol w:w="109"/>
        <w:gridCol w:w="109"/>
        <w:gridCol w:w="269"/>
        <w:gridCol w:w="271"/>
        <w:gridCol w:w="286"/>
      </w:tblGrid>
      <w:tr>
        <w:trPr/>
        <w:tc>
          <w:tcPr>
            <w:tcW w:w="916"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ind w:left="0" w:right="0" w:hanging="180"/>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Years Ended December 31,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2431" w:type="dxa"/>
            <w:gridSpan w:val="12"/>
            <w:tcBorders/>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6"/>
              </w:rPr>
            </w:pPr>
            <w:r>
              <w:rPr>
                <w:rFonts w:ascii="Times New Roman;serif" w:hAnsi="Times New Roman;serif"/>
                <w:b w:val="false"/>
                <w:i/>
                <w:color w:val="000000"/>
                <w:sz w:val="16"/>
              </w:rPr>
              <w:t>(In thousands, except percentages)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w:t>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Realized gain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Whole loan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144,549 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105,470 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39,079 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37.1 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Securitized loans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37,911 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21,128 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79.4 </w:t>
            </w:r>
          </w:p>
        </w:tc>
        <w:tc>
          <w:tcPr>
            <w:tcW w:w="28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Derivatives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n.m.</w:t>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176,168 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126,650 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49,518 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39.1 </w:t>
            </w:r>
          </w:p>
        </w:tc>
        <w:tc>
          <w:tcPr>
            <w:tcW w:w="28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Unrealized gain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Loans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(80.1)</w:t>
            </w:r>
          </w:p>
        </w:tc>
        <w:tc>
          <w:tcPr>
            <w:tcW w:w="28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Marketable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(40.0)</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Derivatives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(65.8)</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(9,847)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(71.9)</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gain on sale of loans,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180,024 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140,353 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39,671 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28.3 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bl>
    <w:p>
      <w:pPr>
        <w:pStyle w:val="TextBody"/>
        <w:bidi w:val="0"/>
        <w:spacing w:lineRule="auto" w:line="288" w:before="0" w:after="180"/>
        <w:jc w:val="both"/>
        <w:rPr/>
      </w:pPr>
      <w:r>
        <w:rPr>
          <w:rFonts w:ascii="Times New Roman;serif" w:hAnsi="Times New Roman;serif"/>
          <w:b w:val="false"/>
          <w:color w:val="000000"/>
          <w:sz w:val="20"/>
          <w:shd w:fill="FFFFFF" w:val="clear"/>
        </w:rPr>
        <w:t xml:space="preserve">Gain on sale of loans increased $39.7 million, or 28.3%, as a result of an increase of $55.9 million in the total realized gains on loans due to a 39.7% increase in the weighted average price of loans sold, in addition to an increase in the UPB of loans sold from $4.8 billion to $6.1 billion for the </w:t>
      </w:r>
      <w:r>
        <w:rPr>
          <w:rFonts w:ascii="Times New Roman;serif" w:hAnsi="Times New Roman;serif"/>
          <w:b w:val="false"/>
          <w:color w:val="000000"/>
          <w:sz w:val="20"/>
        </w:rPr>
        <w:t>years ended December 31, 2024</w:t>
      </w:r>
      <w:r>
        <w:rPr>
          <w:color w:val="000000"/>
          <w:shd w:fill="FFFFFF" w:val="clear"/>
        </w:rPr>
        <w:t xml:space="preserve"> </w:t>
      </w:r>
      <w:r>
        <w:rPr>
          <w:rFonts w:ascii="Times New Roman;serif" w:hAnsi="Times New Roman;serif"/>
          <w:b w:val="false"/>
          <w:color w:val="000000"/>
          <w:sz w:val="20"/>
          <w:shd w:fill="FFFFFF" w:val="clear"/>
        </w:rPr>
        <w:t xml:space="preserve">and 2025, respectively. The </w:t>
      </w:r>
      <w:r>
        <w:rPr>
          <w:rFonts w:ascii="Times New Roman;serif" w:hAnsi="Times New Roman;serif"/>
          <w:b w:val="false"/>
          <w:color w:val="000000"/>
          <w:sz w:val="20"/>
        </w:rPr>
        <w:t>decrease</w:t>
      </w:r>
      <w:r>
        <w:rPr>
          <w:color w:val="000000"/>
          <w:shd w:fill="FFFFFF" w:val="clear"/>
        </w:rPr>
        <w:t xml:space="preserve"> </w:t>
      </w:r>
      <w:r>
        <w:rPr>
          <w:rFonts w:ascii="Times New Roman;serif" w:hAnsi="Times New Roman;serif"/>
          <w:b w:val="false"/>
          <w:color w:val="000000"/>
          <w:sz w:val="20"/>
          <w:shd w:fill="FFFFFF" w:val="clear"/>
        </w:rPr>
        <w:t>in unrealized gains were primarily due to a $8.5 million decrease in the fair value of loans not yet sold as a result of less HELOC loans held on our balance sheet for the year ended December 31, 2025. Due to changes in rates impacting our derivatives, we recognized realized losses on derivatives of $6.3 million and an unrealized gains of $0.1 million for the year ended December 31,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685"/>
                <wp:effectExtent l="0" t="0" r="0" b="0"/>
                <wp:wrapNone/>
                <wp:docPr id="110" name="Frame10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109</w:t>
                      </w:r>
                    </w:p>
                  </w:txbxContent>
                </v:textbox>
                <w10:wrap type="none"/>
              </v:rect>
            </w:pict>
          </mc:Fallback>
        </mc:AlternateContent>
      </w:r>
    </w:p>
    <w:p>
      <w:pPr>
        <w:pStyle w:val="TextBody"/>
        <w:bidi w:val="0"/>
        <w:spacing w:lineRule="auto" w:line="288" w:before="0" w:after="180"/>
        <w:jc w:val="left"/>
        <w:rPr/>
      </w:pPr>
      <w:hyperlink w:anchor="i8e13d1b6f3764394b0e424082d2ac79f_7">
        <w:r>
          <w:rPr>
            <w:rStyle w:val="InternetLink"/>
            <w:rFonts w:ascii="Times New Roman;serif" w:hAnsi="Times New Roman;serif"/>
            <w:b w:val="false"/>
            <w:color w:val="000080"/>
            <w:sz w:val="20"/>
            <w:u w:val="single"/>
          </w:rPr>
          <w:t>Table of Content</w:t>
        </w:r>
      </w:hyperlink>
      <w:hyperlink w:anchor="i8e13d1b6f3764394b0e424082d2ac79f_7">
        <w:r>
          <w:rPr>
            <w:rStyle w:val="InternetLink"/>
            <w:rFonts w:ascii="Times New Roman;serif" w:hAnsi="Times New Roman;serif"/>
            <w:b w:val="false"/>
            <w:color w:val="000080"/>
            <w:sz w:val="20"/>
            <w:u w:val="single"/>
          </w:rPr>
          <w:t>s</w:t>
        </w:r>
      </w:hyperlink>
    </w:p>
    <w:p>
      <w:pPr>
        <w:pStyle w:val="TextBody"/>
        <w:bidi w:val="0"/>
        <w:spacing w:lineRule="auto" w:line="288" w:before="0" w:after="18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Gain on servicing asset, net</w:t>
      </w:r>
    </w:p>
    <w:tbl>
      <w:tblPr>
        <w:tblW w:w="10205" w:type="dxa"/>
        <w:jc w:val="left"/>
        <w:tblInd w:w="0" w:type="dxa"/>
        <w:tblLayout w:type="fixed"/>
        <w:tblCellMar>
          <w:top w:w="28" w:type="dxa"/>
          <w:left w:w="28" w:type="dxa"/>
          <w:bottom w:w="28" w:type="dxa"/>
          <w:right w:w="28" w:type="dxa"/>
        </w:tblCellMar>
      </w:tblPr>
      <w:tblGrid>
        <w:gridCol w:w="1094"/>
        <w:gridCol w:w="962"/>
        <w:gridCol w:w="969"/>
        <w:gridCol w:w="109"/>
        <w:gridCol w:w="109"/>
        <w:gridCol w:w="109"/>
        <w:gridCol w:w="109"/>
        <w:gridCol w:w="658"/>
        <w:gridCol w:w="658"/>
        <w:gridCol w:w="65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267"/>
        <w:gridCol w:w="269"/>
        <w:gridCol w:w="290"/>
      </w:tblGrid>
      <w:tr>
        <w:trPr/>
        <w:tc>
          <w:tcPr>
            <w:tcW w:w="1094"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3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Years Ended December 31,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2431" w:type="dxa"/>
            <w:gridSpan w:val="12"/>
            <w:tcBorders/>
          </w:tcPr>
          <w:p>
            <w:pPr>
              <w:pStyle w:val="TableContents"/>
              <w:bidi w:val="0"/>
              <w:spacing w:before="0" w:after="283"/>
              <w:jc w:val="left"/>
              <w:rPr>
                <w:sz w:val="4"/>
                <w:szCs w:val="4"/>
              </w:rPr>
            </w:pPr>
            <w:r>
              <w:rPr>
                <w:sz w:val="4"/>
                <w:szCs w:val="4"/>
              </w:rPr>
            </w:r>
          </w:p>
        </w:tc>
      </w:tr>
      <w:tr>
        <w:trPr/>
        <w:tc>
          <w:tcPr>
            <w:tcW w:w="302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6"/>
              </w:rPr>
            </w:pPr>
            <w:r>
              <w:rPr>
                <w:rFonts w:ascii="Times New Roman;serif" w:hAnsi="Times New Roman;serif"/>
                <w:b w:val="false"/>
                <w:i/>
                <w:color w:val="000000"/>
                <w:sz w:val="16"/>
              </w:rPr>
              <w:t>(In thousands, except percentages)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w:t>
            </w:r>
          </w:p>
        </w:tc>
      </w:tr>
      <w:tr>
        <w:trPr/>
        <w:tc>
          <w:tcPr>
            <w:tcW w:w="3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Additions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60,713 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50,557 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20.1 </w:t>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3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Realization of cash flows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(28,207)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43.7 </w:t>
            </w:r>
          </w:p>
        </w:tc>
        <w:tc>
          <w:tcPr>
            <w:tcW w:w="29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valuation inputs and assumptions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n.m.</w:t>
            </w:r>
          </w:p>
        </w:tc>
      </w:tr>
      <w:tr>
        <w:trPr/>
        <w:tc>
          <w:tcPr>
            <w:tcW w:w="3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gain on servicing asset,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24,567 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32,637 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(8,070)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(24.7)</w:t>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bl>
    <w:p>
      <w:pPr>
        <w:pStyle w:val="TextBody"/>
        <w:bidi w:val="0"/>
        <w:spacing w:lineRule="auto" w:line="288" w:before="0" w:after="18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Gain on servicing asset, net decreased $8.1 million, or 24.7%, primarily due to a $9.6 million decrease resulting from changes in valuation inputs and assumptions, which was impacted by a decrease in the weighted average servicing fee rate from 34 to 31 basis points. In addition, there was an $8.6 million change due to the realization of cash flows derived from a larger servicing portfolio during the year ended December 31, 2025 compared to the year ended December 31, 2024. The decreases are offset by a $10.2 million increase in new servicing assets retained on the increase of UPB of loans sold from $4.8 billion to $6.1 billion for the year ended December 31, 2025 compared to the year ended December 31, 2024. </w:t>
      </w:r>
    </w:p>
    <w:p>
      <w:pPr>
        <w:pStyle w:val="TextBody"/>
        <w:bidi w:val="0"/>
        <w:spacing w:lineRule="auto" w:line="288" w:before="0" w:after="180"/>
        <w:jc w:val="both"/>
        <w:rPr>
          <w:rFonts w:ascii="Times New Roman;serif" w:hAnsi="Times New Roman;serif"/>
          <w:b w:val="false"/>
          <w:color w:val="000000"/>
          <w:sz w:val="20"/>
          <w:u w:val="single"/>
          <w:shd w:fill="FFFFFF" w:val="clear"/>
        </w:rPr>
      </w:pPr>
      <w:r>
        <w:rPr>
          <w:rFonts w:ascii="Times New Roman;serif" w:hAnsi="Times New Roman;serif"/>
          <w:b w:val="false"/>
          <w:color w:val="000000"/>
          <w:sz w:val="20"/>
          <w:u w:val="single"/>
          <w:shd w:fill="FFFFFF" w:val="clear"/>
        </w:rPr>
        <w:t>Other revenue</w:t>
      </w:r>
    </w:p>
    <w:p>
      <w:pPr>
        <w:pStyle w:val="TextBody"/>
        <w:bidi w:val="0"/>
        <w:spacing w:lineRule="auto" w:line="288" w:before="0" w:after="18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Other revenue is immaterial overall and components of other revenue did not materially change as fees, and the net assets on which we charge those fees, were consistent during the years ended December 31, 2025 and 2024.</w:t>
      </w:r>
    </w:p>
    <w:p>
      <w:pPr>
        <w:pStyle w:val="TextBody"/>
        <w:bidi w:val="0"/>
        <w:spacing w:lineRule="auto" w:line="288" w:before="0" w:after="18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Figure-branded revenue</w:t>
      </w:r>
    </w:p>
    <w:tbl>
      <w:tblPr>
        <w:tblW w:w="9899" w:type="dxa"/>
        <w:jc w:val="left"/>
        <w:tblInd w:w="0" w:type="dxa"/>
        <w:tblLayout w:type="fixed"/>
        <w:tblCellMar>
          <w:top w:w="28" w:type="dxa"/>
          <w:left w:w="28" w:type="dxa"/>
          <w:bottom w:w="28" w:type="dxa"/>
          <w:right w:w="28" w:type="dxa"/>
        </w:tblCellMar>
      </w:tblPr>
      <w:tblGrid>
        <w:gridCol w:w="916"/>
        <w:gridCol w:w="806"/>
        <w:gridCol w:w="812"/>
        <w:gridCol w:w="109"/>
        <w:gridCol w:w="109"/>
        <w:gridCol w:w="109"/>
        <w:gridCol w:w="109"/>
        <w:gridCol w:w="684"/>
        <w:gridCol w:w="684"/>
        <w:gridCol w:w="686"/>
        <w:gridCol w:w="109"/>
        <w:gridCol w:w="196"/>
        <w:gridCol w:w="736"/>
        <w:gridCol w:w="109"/>
        <w:gridCol w:w="109"/>
        <w:gridCol w:w="109"/>
        <w:gridCol w:w="109"/>
        <w:gridCol w:w="196"/>
        <w:gridCol w:w="736"/>
        <w:gridCol w:w="109"/>
        <w:gridCol w:w="109"/>
        <w:gridCol w:w="109"/>
        <w:gridCol w:w="109"/>
        <w:gridCol w:w="196"/>
        <w:gridCol w:w="646"/>
        <w:gridCol w:w="109"/>
        <w:gridCol w:w="109"/>
        <w:gridCol w:w="109"/>
        <w:gridCol w:w="109"/>
        <w:gridCol w:w="233"/>
        <w:gridCol w:w="233"/>
        <w:gridCol w:w="286"/>
      </w:tblGrid>
      <w:tr>
        <w:trPr/>
        <w:tc>
          <w:tcPr>
            <w:tcW w:w="916"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Years Ended December 31,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2357" w:type="dxa"/>
            <w:gridSpan w:val="12"/>
            <w:tcBorders/>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6"/>
              </w:rPr>
            </w:pPr>
            <w:r>
              <w:rPr>
                <w:rFonts w:ascii="Times New Roman;serif" w:hAnsi="Times New Roman;serif"/>
                <w:b w:val="false"/>
                <w:i/>
                <w:color w:val="000000"/>
                <w:sz w:val="16"/>
              </w:rPr>
              <w:t>(In thousands, except percentages)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w:t>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Ecosystem and technology fees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25.8 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Origination fees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65,507 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57,039 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14.8 </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Gain on sale of loans,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46,269 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43.0 </w:t>
            </w:r>
          </w:p>
        </w:tc>
        <w:tc>
          <w:tcPr>
            <w:tcW w:w="28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Figure-branded net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134,812 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105,802 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29,010 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27.4 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bl>
    <w:p>
      <w:pPr>
        <w:pStyle w:val="TextBody"/>
        <w:bidi w:val="0"/>
        <w:spacing w:lineRule="auto" w:line="288" w:before="0" w:after="18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Figure-branded net revenue increased $29.0 million, or 27.4% during the year ended December 31, 2025, compared to the year ended December 31, 2024. This was primarily due to a $19.9 million, or 43.0% increase in gain on sale of loans, net, during the year ended December 31, 2025, compared to the year ended December 31, 2024, as a result of an increase in the weighted average price of loans sold, in addition to an increase in the UPB of loans sold. Figure-branded origination fees increased by $8.5 million, or 14.8%, during the year ended December 31, 2025, compared to the year ended December 31, 2024, as a result of a 17.5% increase in Figure-branded volume. </w:t>
      </w:r>
    </w:p>
    <w:p>
      <w:pPr>
        <w:pStyle w:val="TextBody"/>
        <w:bidi w:val="0"/>
        <w:spacing w:lineRule="auto" w:line="288" w:before="0" w:after="18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Partner-branded revenue</w:t>
      </w:r>
    </w:p>
    <w:tbl>
      <w:tblPr>
        <w:tblW w:w="10079" w:type="dxa"/>
        <w:jc w:val="left"/>
        <w:tblInd w:w="0" w:type="dxa"/>
        <w:tblLayout w:type="fixed"/>
        <w:tblCellMar>
          <w:top w:w="28" w:type="dxa"/>
          <w:left w:w="28" w:type="dxa"/>
          <w:bottom w:w="28" w:type="dxa"/>
          <w:right w:w="28" w:type="dxa"/>
        </w:tblCellMar>
      </w:tblPr>
      <w:tblGrid>
        <w:gridCol w:w="916"/>
        <w:gridCol w:w="806"/>
        <w:gridCol w:w="812"/>
        <w:gridCol w:w="109"/>
        <w:gridCol w:w="109"/>
        <w:gridCol w:w="109"/>
        <w:gridCol w:w="109"/>
        <w:gridCol w:w="684"/>
        <w:gridCol w:w="684"/>
        <w:gridCol w:w="686"/>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278"/>
        <w:gridCol w:w="278"/>
        <w:gridCol w:w="286"/>
      </w:tblGrid>
      <w:tr>
        <w:trPr/>
        <w:tc>
          <w:tcPr>
            <w:tcW w:w="916"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Years Ended December 31,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2537" w:type="dxa"/>
            <w:gridSpan w:val="12"/>
            <w:tcBorders/>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6"/>
              </w:rPr>
            </w:pPr>
            <w:r>
              <w:rPr>
                <w:rFonts w:ascii="Times New Roman;serif" w:hAnsi="Times New Roman;serif"/>
                <w:b w:val="false"/>
                <w:i/>
                <w:color w:val="000000"/>
                <w:sz w:val="16"/>
              </w:rPr>
              <w:t>(In thousands, except percentages)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w:t>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Ecosystem and technology fees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117,671 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25,820 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91,851 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355.7 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Origination fees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Gain on sale of loans,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113,856 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94,084 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19,772 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21.0 </w:t>
            </w:r>
          </w:p>
        </w:tc>
        <w:tc>
          <w:tcPr>
            <w:tcW w:w="28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Partner-branded net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238,556 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127,732 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110,824 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86.8 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bl>
    <w:p>
      <w:pPr>
        <w:pStyle w:val="TextBody"/>
        <w:bidi w:val="0"/>
        <w:spacing w:lineRule="auto" w:line="288" w:before="0" w:after="18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Partner-branded net revenue increased $110.8 million, or 86.8% during the year ended December 31, 2025, compared to the year ended December 31, 2024. The increase was primarily attributable to ecosystem and technology fees, which increased by $91.9 million, or 355.7%, during the year ended December 31, 2025, compared to the year ended December 31, 2024. This was primarily due to a $99.3 million increase in revenue recognized for ecosystem and technology fees from volume transacted on our Connect platform, for which minimal fees were earned in the prior year. Additionally, Partner-branded gain on sale of loans, net increased by $19.8 million, or 21.0%, during the year ended December 31, 2025, compared to the year ended December 31, 2024, as a result of an increase in the weighted average price of loans sold of 39.7%.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685"/>
                <wp:effectExtent l="0" t="0" r="0" b="0"/>
                <wp:wrapNone/>
                <wp:docPr id="111" name="Frame1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110</w:t>
                      </w:r>
                    </w:p>
                  </w:txbxContent>
                </v:textbox>
                <w10:wrap type="none"/>
              </v:rect>
            </w:pict>
          </mc:Fallback>
        </mc:AlternateContent>
      </w:r>
    </w:p>
    <w:p>
      <w:pPr>
        <w:pStyle w:val="TextBody"/>
        <w:bidi w:val="0"/>
        <w:spacing w:lineRule="auto" w:line="288" w:before="0" w:after="180"/>
        <w:jc w:val="left"/>
        <w:rPr/>
      </w:pPr>
      <w:hyperlink w:anchor="i8e13d1b6f3764394b0e424082d2ac79f_7">
        <w:r>
          <w:rPr>
            <w:rStyle w:val="InternetLink"/>
            <w:rFonts w:ascii="Times New Roman;serif" w:hAnsi="Times New Roman;serif"/>
            <w:b w:val="false"/>
            <w:color w:val="000080"/>
            <w:sz w:val="20"/>
            <w:u w:val="single"/>
          </w:rPr>
          <w:t>Table of Content</w:t>
        </w:r>
      </w:hyperlink>
      <w:hyperlink w:anchor="i8e13d1b6f3764394b0e424082d2ac79f_7">
        <w:r>
          <w:rPr>
            <w:rStyle w:val="InternetLink"/>
            <w:rFonts w:ascii="Times New Roman;serif" w:hAnsi="Times New Roman;serif"/>
            <w:b w:val="false"/>
            <w:color w:val="000080"/>
            <w:sz w:val="20"/>
            <w:u w:val="single"/>
          </w:rPr>
          <w:t>s</w:t>
        </w:r>
      </w:hyperlink>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 xml:space="preserve">Operating Expenses </w:t>
      </w:r>
    </w:p>
    <w:p>
      <w:pPr>
        <w:pStyle w:val="TextBody"/>
        <w:bidi w:val="0"/>
        <w:spacing w:lineRule="auto" w:line="288" w:before="0" w:after="18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General and administrative</w:t>
      </w:r>
    </w:p>
    <w:tbl>
      <w:tblPr>
        <w:tblW w:w="10205" w:type="dxa"/>
        <w:jc w:val="left"/>
        <w:tblInd w:w="0" w:type="dxa"/>
        <w:tblLayout w:type="fixed"/>
        <w:tblCellMar>
          <w:top w:w="28" w:type="dxa"/>
          <w:left w:w="28" w:type="dxa"/>
          <w:bottom w:w="28" w:type="dxa"/>
          <w:right w:w="28" w:type="dxa"/>
        </w:tblCellMar>
      </w:tblPr>
      <w:tblGrid>
        <w:gridCol w:w="1046"/>
        <w:gridCol w:w="916"/>
        <w:gridCol w:w="922"/>
        <w:gridCol w:w="109"/>
        <w:gridCol w:w="109"/>
        <w:gridCol w:w="109"/>
        <w:gridCol w:w="109"/>
        <w:gridCol w:w="668"/>
        <w:gridCol w:w="668"/>
        <w:gridCol w:w="669"/>
        <w:gridCol w:w="109"/>
        <w:gridCol w:w="196"/>
        <w:gridCol w:w="736"/>
        <w:gridCol w:w="109"/>
        <w:gridCol w:w="109"/>
        <w:gridCol w:w="109"/>
        <w:gridCol w:w="109"/>
        <w:gridCol w:w="196"/>
        <w:gridCol w:w="736"/>
        <w:gridCol w:w="109"/>
        <w:gridCol w:w="109"/>
        <w:gridCol w:w="109"/>
        <w:gridCol w:w="109"/>
        <w:gridCol w:w="196"/>
        <w:gridCol w:w="646"/>
        <w:gridCol w:w="109"/>
        <w:gridCol w:w="109"/>
        <w:gridCol w:w="109"/>
        <w:gridCol w:w="109"/>
        <w:gridCol w:w="233"/>
        <w:gridCol w:w="233"/>
        <w:gridCol w:w="291"/>
      </w:tblGrid>
      <w:tr>
        <w:trPr/>
        <w:tc>
          <w:tcPr>
            <w:tcW w:w="10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Years Ended December 31,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2362" w:type="dxa"/>
            <w:gridSpan w:val="12"/>
            <w:tcBorders/>
          </w:tcPr>
          <w:p>
            <w:pPr>
              <w:pStyle w:val="TableContents"/>
              <w:bidi w:val="0"/>
              <w:spacing w:before="0" w:after="283"/>
              <w:jc w:val="left"/>
              <w:rPr>
                <w:sz w:val="4"/>
                <w:szCs w:val="4"/>
              </w:rPr>
            </w:pPr>
            <w:r>
              <w:rPr>
                <w:sz w:val="4"/>
                <w:szCs w:val="4"/>
              </w:rPr>
            </w:r>
          </w:p>
        </w:tc>
      </w:tr>
      <w:tr>
        <w:trPr/>
        <w:tc>
          <w:tcPr>
            <w:tcW w:w="28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6"/>
              </w:rPr>
            </w:pPr>
            <w:r>
              <w:rPr>
                <w:rFonts w:ascii="Times New Roman;serif" w:hAnsi="Times New Roman;serif"/>
                <w:b w:val="false"/>
                <w:i/>
                <w:color w:val="000000"/>
                <w:sz w:val="16"/>
              </w:rPr>
              <w:t>(In thousands, except percentages)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w:t>
            </w:r>
          </w:p>
        </w:tc>
      </w:tr>
      <w:tr>
        <w:trPr/>
        <w:tc>
          <w:tcPr>
            <w:tcW w:w="2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Compensation and benefits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29,514 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36.8 </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Equity-based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35,423 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23,690 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66.9 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Professional services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19,314 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17.0 </w:t>
            </w:r>
          </w:p>
        </w:tc>
        <w:tc>
          <w:tcPr>
            <w:tcW w:w="29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Impairment of capitalized software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16"/>
              </w:rPr>
            </w:pPr>
            <w:r>
              <w:rPr>
                <w:rFonts w:ascii="Times New Roman;serif" w:hAnsi="Times New Roman;serif"/>
                <w:b w:val="false"/>
                <w:color w:val="000000"/>
                <w:sz w:val="16"/>
              </w:rPr>
              <w:t>n.m.</w:t>
            </w:r>
          </w:p>
        </w:tc>
      </w:tr>
      <w:tr>
        <w:trPr/>
        <w:tc>
          <w:tcPr>
            <w:tcW w:w="2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19,355 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general and administrative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131,971 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104,251 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27,720 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26.6 </w:t>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bl>
    <w:p>
      <w:pPr>
        <w:pStyle w:val="TextBody"/>
        <w:bidi w:val="0"/>
        <w:spacing w:lineRule="auto" w:line="288" w:before="0" w:after="18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General and administrative expense increased $27.7 million, or 26.6%. This primarily consisted of an increase in equity-based compensation expense of $23.7 million, due to the recognition of expense for stock-based compensation awards that satisfied the liquidity condition in connection with the IPO, additional grants associated with the IPO, and an increase in grants in the current year due to increased headcount. Additionally, compensation and benefits increased $7.9 million due to increased headcount as well as one-time bonuses associated with the IPO. </w:t>
      </w:r>
    </w:p>
    <w:p>
      <w:pPr>
        <w:pStyle w:val="TextBody"/>
        <w:bidi w:val="0"/>
        <w:spacing w:lineRule="auto" w:line="288" w:before="0" w:after="18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Technology and product development</w:t>
      </w:r>
    </w:p>
    <w:tbl>
      <w:tblPr>
        <w:tblW w:w="10205" w:type="dxa"/>
        <w:jc w:val="left"/>
        <w:tblInd w:w="0" w:type="dxa"/>
        <w:tblLayout w:type="fixed"/>
        <w:tblCellMar>
          <w:top w:w="28" w:type="dxa"/>
          <w:left w:w="28" w:type="dxa"/>
          <w:bottom w:w="28" w:type="dxa"/>
          <w:right w:w="28" w:type="dxa"/>
        </w:tblCellMar>
      </w:tblPr>
      <w:tblGrid>
        <w:gridCol w:w="1213"/>
        <w:gridCol w:w="1044"/>
        <w:gridCol w:w="1051"/>
        <w:gridCol w:w="109"/>
        <w:gridCol w:w="109"/>
        <w:gridCol w:w="109"/>
        <w:gridCol w:w="109"/>
        <w:gridCol w:w="617"/>
        <w:gridCol w:w="617"/>
        <w:gridCol w:w="618"/>
        <w:gridCol w:w="109"/>
        <w:gridCol w:w="196"/>
        <w:gridCol w:w="646"/>
        <w:gridCol w:w="109"/>
        <w:gridCol w:w="109"/>
        <w:gridCol w:w="109"/>
        <w:gridCol w:w="109"/>
        <w:gridCol w:w="196"/>
        <w:gridCol w:w="646"/>
        <w:gridCol w:w="109"/>
        <w:gridCol w:w="109"/>
        <w:gridCol w:w="109"/>
        <w:gridCol w:w="109"/>
        <w:gridCol w:w="196"/>
        <w:gridCol w:w="556"/>
        <w:gridCol w:w="109"/>
        <w:gridCol w:w="109"/>
        <w:gridCol w:w="109"/>
        <w:gridCol w:w="109"/>
        <w:gridCol w:w="232"/>
        <w:gridCol w:w="234"/>
        <w:gridCol w:w="290"/>
      </w:tblGrid>
      <w:tr>
        <w:trPr/>
        <w:tc>
          <w:tcPr>
            <w:tcW w:w="1213"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3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Years Ended December 31,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2271" w:type="dxa"/>
            <w:gridSpan w:val="12"/>
            <w:tcBorders/>
          </w:tcPr>
          <w:p>
            <w:pPr>
              <w:pStyle w:val="TableContents"/>
              <w:bidi w:val="0"/>
              <w:spacing w:before="0" w:after="283"/>
              <w:jc w:val="left"/>
              <w:rPr>
                <w:sz w:val="4"/>
                <w:szCs w:val="4"/>
              </w:rPr>
            </w:pPr>
            <w:r>
              <w:rPr>
                <w:sz w:val="4"/>
                <w:szCs w:val="4"/>
              </w:rPr>
            </w:r>
          </w:p>
        </w:tc>
      </w:tr>
      <w:tr>
        <w:trPr/>
        <w:tc>
          <w:tcPr>
            <w:tcW w:w="330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6"/>
              </w:rPr>
            </w:pPr>
            <w:r>
              <w:rPr>
                <w:rFonts w:ascii="Times New Roman;serif" w:hAnsi="Times New Roman;serif"/>
                <w:b w:val="false"/>
                <w:i/>
                <w:color w:val="000000"/>
                <w:sz w:val="16"/>
              </w:rPr>
              <w:t>(In thousands, except percentages)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w:t>
            </w:r>
          </w:p>
        </w:tc>
      </w:tr>
      <w:tr>
        <w:trPr/>
        <w:tc>
          <w:tcPr>
            <w:tcW w:w="3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Compensation and benefits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24,847 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25,690 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w:t>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3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Equity-based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28.5 </w:t>
            </w:r>
          </w:p>
        </w:tc>
        <w:tc>
          <w:tcPr>
            <w:tcW w:w="29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w:t>
            </w:r>
          </w:p>
        </w:tc>
        <w:tc>
          <w:tcPr>
            <w:tcW w:w="29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Software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13.3 </w:t>
            </w:r>
          </w:p>
        </w:tc>
        <w:tc>
          <w:tcPr>
            <w:tcW w:w="29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technology and product development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64,922 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62,657 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2,265 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3.6 </w:t>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bl>
    <w:p>
      <w:pPr>
        <w:pStyle w:val="TextBody"/>
        <w:bidi w:val="0"/>
        <w:spacing w:lineRule="auto" w:line="288" w:before="0" w:after="18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Technology and product development expense increased $2.3 million, or 3.6%, due to a $2.7 million increase in equity-based compensation expense primarily due to an increase in services exchanged for issuance of warrants of $2.9 million. This increase is partially offset by decreased amortization expense of $0.9 million for the year ended December 31, 2025 due to lower capitalized software balances, which are subject to amortization.</w:t>
      </w:r>
    </w:p>
    <w:p>
      <w:pPr>
        <w:pStyle w:val="TextBody"/>
        <w:bidi w:val="0"/>
        <w:spacing w:lineRule="auto" w:line="288" w:before="0" w:after="18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Operations and processing</w:t>
      </w:r>
    </w:p>
    <w:tbl>
      <w:tblPr>
        <w:tblW w:w="10109" w:type="dxa"/>
        <w:jc w:val="left"/>
        <w:tblInd w:w="0" w:type="dxa"/>
        <w:tblLayout w:type="fixed"/>
        <w:tblCellMar>
          <w:top w:w="28" w:type="dxa"/>
          <w:left w:w="28" w:type="dxa"/>
          <w:bottom w:w="28" w:type="dxa"/>
          <w:right w:w="28" w:type="dxa"/>
        </w:tblCellMar>
      </w:tblPr>
      <w:tblGrid>
        <w:gridCol w:w="1057"/>
        <w:gridCol w:w="930"/>
        <w:gridCol w:w="937"/>
        <w:gridCol w:w="109"/>
        <w:gridCol w:w="109"/>
        <w:gridCol w:w="109"/>
        <w:gridCol w:w="109"/>
        <w:gridCol w:w="684"/>
        <w:gridCol w:w="684"/>
        <w:gridCol w:w="686"/>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233"/>
        <w:gridCol w:w="233"/>
        <w:gridCol w:w="286"/>
      </w:tblGrid>
      <w:tr>
        <w:trPr/>
        <w:tc>
          <w:tcPr>
            <w:tcW w:w="1057"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Years Ended December 31,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2357" w:type="dxa"/>
            <w:gridSpan w:val="12"/>
            <w:tcBorders/>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6"/>
              </w:rPr>
            </w:pPr>
            <w:r>
              <w:rPr>
                <w:rFonts w:ascii="Times New Roman;serif" w:hAnsi="Times New Roman;serif"/>
                <w:b w:val="false"/>
                <w:i/>
                <w:color w:val="000000"/>
                <w:sz w:val="16"/>
              </w:rPr>
              <w:t>(In thousands, except percentages)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w:t>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Compensation and benefits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23,002 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24.0 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Equity-based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17.3 </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Processing fees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41,599 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25,507 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operations and processing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65,056 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44,452 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20,604 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46.4 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bl>
    <w:p>
      <w:pPr>
        <w:pStyle w:val="TextBody"/>
        <w:bidi w:val="0"/>
        <w:spacing w:lineRule="auto" w:line="288" w:before="0" w:after="180"/>
        <w:jc w:val="both"/>
        <w:rPr/>
      </w:pPr>
      <w:r>
        <w:rPr>
          <w:rFonts w:ascii="Times New Roman;serif" w:hAnsi="Times New Roman;serif"/>
          <w:b w:val="false"/>
          <w:color w:val="000000"/>
          <w:sz w:val="20"/>
          <w:shd w:fill="FFFFFF" w:val="clear"/>
        </w:rPr>
        <w:t>Operations and processing expense increased $20.6 million, or 46.4%, primarily due to a $16.1 million increase in processing fees due to a</w:t>
      </w:r>
      <w:r>
        <w:rPr>
          <w:color w:val="000000"/>
        </w:rPr>
        <w:t xml:space="preserve"> </w:t>
      </w:r>
      <w:r>
        <w:rPr>
          <w:rFonts w:ascii="Times New Roman;serif" w:hAnsi="Times New Roman;serif"/>
          <w:b w:val="false"/>
          <w:color w:val="000000"/>
          <w:sz w:val="20"/>
        </w:rPr>
        <w:t>63.3%</w:t>
      </w:r>
      <w:r>
        <w:rPr>
          <w:color w:val="000000"/>
          <w:shd w:fill="FFFFFF" w:val="clear"/>
        </w:rPr>
        <w:t xml:space="preserve"> </w:t>
      </w:r>
      <w:r>
        <w:rPr>
          <w:rFonts w:ascii="Times New Roman;serif" w:hAnsi="Times New Roman;serif"/>
          <w:b w:val="false"/>
          <w:color w:val="000000"/>
          <w:sz w:val="20"/>
        </w:rPr>
        <w:t>increase</w:t>
      </w:r>
      <w:r>
        <w:rPr>
          <w:color w:val="000000"/>
          <w:shd w:fill="FFFFFF" w:val="clear"/>
        </w:rPr>
        <w:t xml:space="preserve"> </w:t>
      </w:r>
      <w:r>
        <w:rPr>
          <w:rFonts w:ascii="Times New Roman;serif" w:hAnsi="Times New Roman;serif"/>
          <w:b w:val="false"/>
          <w:color w:val="000000"/>
          <w:sz w:val="20"/>
          <w:shd w:fill="FFFFFF" w:val="clear"/>
        </w:rPr>
        <w:t>in Consumer Loan Marketplace Volume.</w:t>
      </w:r>
    </w:p>
    <w:p>
      <w:pPr>
        <w:pStyle w:val="TextBody"/>
        <w:bidi w:val="0"/>
        <w:spacing w:lineRule="auto" w:line="288" w:before="0" w:after="18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Sales and marketing</w:t>
      </w:r>
    </w:p>
    <w:tbl>
      <w:tblPr>
        <w:tblW w:w="9809" w:type="dxa"/>
        <w:jc w:val="left"/>
        <w:tblInd w:w="0" w:type="dxa"/>
        <w:tblLayout w:type="fixed"/>
        <w:tblCellMar>
          <w:top w:w="28" w:type="dxa"/>
          <w:left w:w="28" w:type="dxa"/>
          <w:bottom w:w="28" w:type="dxa"/>
          <w:right w:w="28" w:type="dxa"/>
        </w:tblCellMar>
      </w:tblPr>
      <w:tblGrid>
        <w:gridCol w:w="916"/>
        <w:gridCol w:w="806"/>
        <w:gridCol w:w="812"/>
        <w:gridCol w:w="109"/>
        <w:gridCol w:w="109"/>
        <w:gridCol w:w="109"/>
        <w:gridCol w:w="109"/>
        <w:gridCol w:w="684"/>
        <w:gridCol w:w="684"/>
        <w:gridCol w:w="686"/>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278"/>
        <w:gridCol w:w="278"/>
        <w:gridCol w:w="286"/>
      </w:tblGrid>
      <w:tr>
        <w:trPr/>
        <w:tc>
          <w:tcPr>
            <w:tcW w:w="916"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Years Ended December 31,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2447" w:type="dxa"/>
            <w:gridSpan w:val="12"/>
            <w:tcBorders/>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6"/>
              </w:rPr>
            </w:pPr>
            <w:r>
              <w:rPr>
                <w:rFonts w:ascii="Times New Roman;serif" w:hAnsi="Times New Roman;serif"/>
                <w:b w:val="false"/>
                <w:i/>
                <w:color w:val="000000"/>
                <w:sz w:val="16"/>
              </w:rPr>
              <w:t>(In thousands, except percentages)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w:t>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Compensation and benefits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80.2 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Equity-based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500.7 </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Advertising and other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66,876 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50,859 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sales and marketing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76,094 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55,657 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20,437 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36.7 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bl>
    <w:p>
      <w:pPr>
        <w:pStyle w:val="TextBody"/>
        <w:bidi w:val="0"/>
        <w:spacing w:lineRule="auto" w:line="288" w:before="0" w:after="180"/>
        <w:jc w:val="both"/>
        <w:rPr/>
      </w:pPr>
      <w:r>
        <w:rPr>
          <w:rFonts w:ascii="Times New Roman;serif" w:hAnsi="Times New Roman;serif"/>
          <w:b w:val="false"/>
          <w:color w:val="000000"/>
          <w:sz w:val="20"/>
          <w:shd w:fill="FFFFFF" w:val="clear"/>
        </w:rPr>
        <w:t xml:space="preserve">Sales and marketing expense increased $20.4 million, or 36.7%, primarily due to a $16.0 million increase in advertising and other costs driven by a </w:t>
      </w:r>
      <w:r>
        <w:rPr>
          <w:rFonts w:ascii="Times New Roman;serif" w:hAnsi="Times New Roman;serif"/>
          <w:b w:val="false"/>
          <w:color w:val="000000"/>
          <w:sz w:val="20"/>
        </w:rPr>
        <w:t>17.5% increase</w:t>
      </w:r>
      <w:r>
        <w:rPr>
          <w:color w:val="000000"/>
          <w:shd w:fill="FFFFFF" w:val="clear"/>
        </w:rPr>
        <w:t xml:space="preserve"> </w:t>
      </w:r>
      <w:r>
        <w:rPr>
          <w:rFonts w:ascii="Times New Roman;serif" w:hAnsi="Times New Roman;serif"/>
          <w:b w:val="false"/>
          <w:color w:val="000000"/>
          <w:sz w:val="20"/>
          <w:shd w:fill="FFFFFF" w:val="clear"/>
        </w:rPr>
        <w:t>in Figure-branded volume, as well as a $3.7 million increase in compensation and benefits due to an increase in headcount.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685"/>
                <wp:effectExtent l="0" t="0" r="0" b="0"/>
                <wp:wrapNone/>
                <wp:docPr id="112" name="Frame1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111</w:t>
                      </w:r>
                    </w:p>
                  </w:txbxContent>
                </v:textbox>
                <w10:wrap type="none"/>
              </v:rect>
            </w:pict>
          </mc:Fallback>
        </mc:AlternateContent>
      </w:r>
    </w:p>
    <w:p>
      <w:pPr>
        <w:pStyle w:val="TextBody"/>
        <w:bidi w:val="0"/>
        <w:spacing w:lineRule="auto" w:line="288" w:before="0" w:after="180"/>
        <w:jc w:val="left"/>
        <w:rPr/>
      </w:pPr>
      <w:hyperlink w:anchor="i8e13d1b6f3764394b0e424082d2ac79f_7">
        <w:r>
          <w:rPr>
            <w:rStyle w:val="InternetLink"/>
            <w:rFonts w:ascii="Times New Roman;serif" w:hAnsi="Times New Roman;serif"/>
            <w:b w:val="false"/>
            <w:color w:val="000080"/>
            <w:sz w:val="20"/>
            <w:u w:val="single"/>
          </w:rPr>
          <w:t>Table of Content</w:t>
        </w:r>
      </w:hyperlink>
      <w:hyperlink w:anchor="i8e13d1b6f3764394b0e424082d2ac79f_7">
        <w:r>
          <w:rPr>
            <w:rStyle w:val="InternetLink"/>
            <w:rFonts w:ascii="Times New Roman;serif" w:hAnsi="Times New Roman;serif"/>
            <w:b w:val="false"/>
            <w:color w:val="000080"/>
            <w:sz w:val="20"/>
            <w:u w:val="single"/>
          </w:rPr>
          <w:t>s</w:t>
        </w:r>
      </w:hyperlink>
    </w:p>
    <w:p>
      <w:pPr>
        <w:pStyle w:val="TextBody"/>
        <w:bidi w:val="0"/>
        <w:spacing w:lineRule="auto" w:line="288" w:before="0" w:after="18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Interest expense</w:t>
      </w:r>
    </w:p>
    <w:p>
      <w:pPr>
        <w:pStyle w:val="TextBody"/>
        <w:bidi w:val="0"/>
        <w:spacing w:lineRule="auto" w:line="288" w:before="0" w:after="180"/>
        <w:jc w:val="both"/>
        <w:rPr/>
      </w:pPr>
      <w:r>
        <w:rPr>
          <w:rFonts w:ascii="Times New Roman;serif" w:hAnsi="Times New Roman;serif"/>
          <w:b w:val="false"/>
          <w:color w:val="000000"/>
          <w:sz w:val="20"/>
          <w:shd w:fill="FFFFFF" w:val="clear"/>
        </w:rPr>
        <w:t xml:space="preserve">Interest expense decreased $7.5 million, or 13.4%, primarily due a $14.1 million decrease in exit fees paid to warehouse facilities and a $5.9 million decrease related to the impact of lower average SOFR rates on warehouse facilities. Those impacts are partially offset by a $7.0 million increase in </w:t>
      </w:r>
      <w:r>
        <w:rPr>
          <w:rFonts w:ascii="Times New Roman;serif" w:hAnsi="Times New Roman;serif"/>
          <w:b w:val="false"/>
          <w:color w:val="000000"/>
          <w:sz w:val="20"/>
        </w:rPr>
        <w:t>retained interest financing</w:t>
      </w:r>
      <w:r>
        <w:rPr>
          <w:color w:val="000000"/>
          <w:shd w:fill="FFFFFF" w:val="clear"/>
        </w:rPr>
        <w:t xml:space="preserve"> </w:t>
      </w:r>
      <w:r>
        <w:rPr>
          <w:rFonts w:ascii="Times New Roman;serif" w:hAnsi="Times New Roman;serif"/>
          <w:b w:val="false"/>
          <w:color w:val="000000"/>
          <w:sz w:val="20"/>
          <w:shd w:fill="FFFFFF" w:val="clear"/>
        </w:rPr>
        <w:t>costs due to securitization volume, and a $3.5 million increase in interest expense related to the MSR facility that we entered into during the second half of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Other (expense) income, net</w:t>
      </w:r>
    </w:p>
    <w:tbl>
      <w:tblPr>
        <w:tblW w:w="10205" w:type="dxa"/>
        <w:jc w:val="left"/>
        <w:tblInd w:w="0" w:type="dxa"/>
        <w:tblLayout w:type="fixed"/>
        <w:tblCellMar>
          <w:top w:w="28" w:type="dxa"/>
          <w:left w:w="28" w:type="dxa"/>
          <w:bottom w:w="28" w:type="dxa"/>
          <w:right w:w="28" w:type="dxa"/>
        </w:tblCellMar>
      </w:tblPr>
      <w:tblGrid>
        <w:gridCol w:w="1142"/>
        <w:gridCol w:w="1005"/>
        <w:gridCol w:w="1012"/>
        <w:gridCol w:w="109"/>
        <w:gridCol w:w="109"/>
        <w:gridCol w:w="109"/>
        <w:gridCol w:w="109"/>
        <w:gridCol w:w="626"/>
        <w:gridCol w:w="626"/>
        <w:gridCol w:w="627"/>
        <w:gridCol w:w="109"/>
        <w:gridCol w:w="196"/>
        <w:gridCol w:w="622"/>
        <w:gridCol w:w="109"/>
        <w:gridCol w:w="109"/>
        <w:gridCol w:w="109"/>
        <w:gridCol w:w="109"/>
        <w:gridCol w:w="196"/>
        <w:gridCol w:w="646"/>
        <w:gridCol w:w="109"/>
        <w:gridCol w:w="109"/>
        <w:gridCol w:w="109"/>
        <w:gridCol w:w="109"/>
        <w:gridCol w:w="196"/>
        <w:gridCol w:w="712"/>
        <w:gridCol w:w="109"/>
        <w:gridCol w:w="109"/>
        <w:gridCol w:w="109"/>
        <w:gridCol w:w="109"/>
        <w:gridCol w:w="278"/>
        <w:gridCol w:w="278"/>
        <w:gridCol w:w="190"/>
      </w:tblGrid>
      <w:tr>
        <w:trPr/>
        <w:tc>
          <w:tcPr>
            <w:tcW w:w="1142"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r>
      <w:tr>
        <w:trPr/>
        <w:tc>
          <w:tcPr>
            <w:tcW w:w="3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Years Ended December 31,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2417" w:type="dxa"/>
            <w:gridSpan w:val="12"/>
            <w:tcBorders/>
          </w:tcPr>
          <w:p>
            <w:pPr>
              <w:pStyle w:val="TableContents"/>
              <w:bidi w:val="0"/>
              <w:spacing w:before="0" w:after="283"/>
              <w:jc w:val="left"/>
              <w:rPr>
                <w:sz w:val="4"/>
                <w:szCs w:val="4"/>
              </w:rPr>
            </w:pPr>
            <w:r>
              <w:rPr>
                <w:sz w:val="4"/>
                <w:szCs w:val="4"/>
              </w:rPr>
            </w:r>
          </w:p>
        </w:tc>
      </w:tr>
      <w:tr>
        <w:trPr/>
        <w:tc>
          <w:tcPr>
            <w:tcW w:w="315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6"/>
              </w:rPr>
            </w:pPr>
            <w:r>
              <w:rPr>
                <w:rFonts w:ascii="Times New Roman;serif" w:hAnsi="Times New Roman;serif"/>
                <w:b w:val="false"/>
                <w:i/>
                <w:color w:val="000000"/>
                <w:sz w:val="16"/>
              </w:rPr>
              <w:t>(In thousands, except percentages)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w:t>
            </w:r>
          </w:p>
        </w:tc>
      </w:tr>
      <w:tr>
        <w:trPr/>
        <w:tc>
          <w:tcPr>
            <w:tcW w:w="3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fair value of digital assets held for sale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16"/>
              </w:rPr>
            </w:pPr>
            <w:r>
              <w:rPr>
                <w:rFonts w:ascii="Times New Roman;serif" w:hAnsi="Times New Roman;serif"/>
                <w:b w:val="false"/>
                <w:color w:val="000000"/>
                <w:sz w:val="16"/>
              </w:rPr>
              <w:t>n.m.</w:t>
            </w:r>
          </w:p>
        </w:tc>
      </w:tr>
      <w:tr>
        <w:trPr/>
        <w:tc>
          <w:tcPr>
            <w:tcW w:w="3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Changes in value of fund investment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16"/>
              </w:rPr>
            </w:pPr>
            <w:r>
              <w:rPr>
                <w:rFonts w:ascii="Times New Roman;serif" w:hAnsi="Times New Roman;serif"/>
                <w:b w:val="false"/>
                <w:color w:val="000000"/>
                <w:sz w:val="16"/>
              </w:rPr>
              <w:t>n.m.</w:t>
            </w:r>
          </w:p>
        </w:tc>
      </w:tr>
      <w:tr>
        <w:trPr/>
        <w:tc>
          <w:tcPr>
            <w:tcW w:w="3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Staking rewards and realized gains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833.9 </w:t>
            </w:r>
          </w:p>
        </w:tc>
        <w:tc>
          <w:tcPr>
            <w:tcW w:w="19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Digital asset impairment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n.m.</w:t>
            </w:r>
          </w:p>
        </w:tc>
      </w:tr>
      <w:tr>
        <w:trPr/>
        <w:tc>
          <w:tcPr>
            <w:tcW w:w="31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3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Settlement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16"/>
              </w:rPr>
            </w:pPr>
            <w:r>
              <w:rPr>
                <w:rFonts w:ascii="Times New Roman;serif" w:hAnsi="Times New Roman;serif"/>
                <w:b w:val="false"/>
                <w:color w:val="000000"/>
                <w:sz w:val="16"/>
              </w:rPr>
              <w:t>n.m.</w:t>
            </w:r>
          </w:p>
        </w:tc>
      </w:tr>
      <w:tr>
        <w:trPr/>
        <w:tc>
          <w:tcPr>
            <w:tcW w:w="3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(89.4)</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other (expense) income,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(3,852)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12,857 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(16,709)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n.m.</w:t>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Other (expense) income, net decreased $16.7 million, primarily driven by a $17.1 million decrease in the change in fair value of Solana tokens, as well as a $5.8 million decrease in the ratable value of the related fund for the year ended December 31, 2025 compared to the year ended December 31, 2024. These were offset by an impairment of $5.9 million of HASH held during the year ended December 31, 2024 due to a decline in the observable fair value of HASH transacted at the time of the Reorganization, that did not occur in the year ended December 31, 2025, and a $6.2 million increase in staking rewards and gain on sale of digital assets that we earned during the year ended December 31, 2025 compared to the year ended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Income Tax Provision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Income tax expense decreased by $22.8 million for the year ended December 31, 2025 compared to the year ended December 31, 2024. The provision for income taxes includes U.S. federal, state and local taxes. The effective tax rate for the year ended December 31, 2025 was approximately (18.1)%, compared to 9.9% for the year ended December 31, 2024. The effective tax rate differed from the U.S. federal statutory rate of 21.0% for the year ended December 31, 2025 primarily due to a discrete benefit arising from the Company’s reassessment of deferred tax asset realizability following the Recombination. The effective tax rate differed from the U.S. federal statutory rate for the year ended December 31, 2024 of 21.0% primarily due to utilization of net operating losses and tax credits related to our research and development activities. Refer to Note 13 in the Consolidated Financial Statements for further details.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Noncontrolling Interests in Consolidated Subsidiaries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Third-party investors hold interests in entities that we consolidate, and to whom we allocate the net income or loss of those entities. During the years ended December 31, 2025 and 2024, we allocated aggregate net income or loss to those third-party investors.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6685"/>
                <wp:effectExtent l="0" t="0" r="0" b="0"/>
                <wp:wrapNone/>
                <wp:docPr id="113" name="Frame1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112</w:t>
                      </w:r>
                    </w:p>
                  </w:txbxContent>
                </v:textbox>
                <w10:wrap type="none"/>
              </v:rect>
            </w:pict>
          </mc:Fallback>
        </mc:AlternateContent>
      </w:r>
    </w:p>
    <w:p>
      <w:pPr>
        <w:pStyle w:val="TextBody"/>
        <w:bidi w:val="0"/>
        <w:spacing w:lineRule="auto" w:line="288" w:before="0" w:after="180"/>
        <w:jc w:val="left"/>
        <w:rPr/>
      </w:pPr>
      <w:hyperlink w:anchor="i8e13d1b6f3764394b0e424082d2ac79f_7">
        <w:r>
          <w:rPr>
            <w:rStyle w:val="InternetLink"/>
            <w:rFonts w:ascii="Times New Roman;serif" w:hAnsi="Times New Roman;serif"/>
            <w:b w:val="false"/>
            <w:color w:val="000080"/>
            <w:sz w:val="20"/>
            <w:u w:val="single"/>
          </w:rPr>
          <w:t>Table of Content</w:t>
        </w:r>
      </w:hyperlink>
      <w:hyperlink w:anchor="i8e13d1b6f3764394b0e424082d2ac79f_7">
        <w:r>
          <w:rPr>
            <w:rStyle w:val="InternetLink"/>
            <w:rFonts w:ascii="Times New Roman;serif" w:hAnsi="Times New Roman;serif"/>
            <w:b w:val="false"/>
            <w:color w:val="000080"/>
            <w:sz w:val="20"/>
            <w:u w:val="single"/>
          </w:rPr>
          <w:t>s</w:t>
        </w:r>
      </w:hyperlink>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Changes in Financial Position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a summary of selected line items from our Consolidated Balance Sheets for the periods indicated, and the changes between such periods. These selected line items have been prepared on the same basis as our Consolidated Financial Statements. In the opinion of management, the financial information set forth in the table below reflects all normal recurring adjustments necessary for the fair statement of changes in the selected line items for these periods. The following selected line items should be read together with our Consolidated Financial Statements and related notes.</w:t>
      </w:r>
    </w:p>
    <w:tbl>
      <w:tblPr>
        <w:tblW w:w="8770" w:type="dxa"/>
        <w:jc w:val="left"/>
        <w:tblInd w:w="0" w:type="dxa"/>
        <w:tblLayout w:type="fixed"/>
        <w:tblCellMar>
          <w:top w:w="28" w:type="dxa"/>
          <w:left w:w="28" w:type="dxa"/>
          <w:bottom w:w="28" w:type="dxa"/>
          <w:right w:w="28" w:type="dxa"/>
        </w:tblCellMar>
      </w:tblPr>
      <w:tblGrid>
        <w:gridCol w:w="932"/>
        <w:gridCol w:w="820"/>
        <w:gridCol w:w="827"/>
        <w:gridCol w:w="250"/>
        <w:gridCol w:w="1111"/>
        <w:gridCol w:w="139"/>
        <w:gridCol w:w="109"/>
        <w:gridCol w:w="109"/>
        <w:gridCol w:w="109"/>
        <w:gridCol w:w="282"/>
        <w:gridCol w:w="1061"/>
        <w:gridCol w:w="157"/>
        <w:gridCol w:w="109"/>
        <w:gridCol w:w="109"/>
        <w:gridCol w:w="109"/>
        <w:gridCol w:w="196"/>
        <w:gridCol w:w="736"/>
        <w:gridCol w:w="109"/>
        <w:gridCol w:w="109"/>
        <w:gridCol w:w="109"/>
        <w:gridCol w:w="109"/>
        <w:gridCol w:w="278"/>
        <w:gridCol w:w="278"/>
        <w:gridCol w:w="459"/>
        <w:gridCol w:w="154"/>
      </w:tblGrid>
      <w:tr>
        <w:trPr/>
        <w:tc>
          <w:tcPr>
            <w:tcW w:w="932"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6"/>
              </w:rPr>
            </w:pPr>
            <w:r>
              <w:rPr>
                <w:rFonts w:ascii="Times New Roman;serif" w:hAnsi="Times New Roman;serif"/>
                <w:b w:val="false"/>
                <w:i/>
                <w:color w:val="000000"/>
                <w:sz w:val="16"/>
              </w:rPr>
              <w:t>(In thousands, except percentages)</w:t>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ASSETS</w:t>
            </w:r>
          </w:p>
        </w:tc>
        <w:tc>
          <w:tcPr>
            <w:tcW w:w="15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assets:</w:t>
            </w:r>
          </w:p>
        </w:tc>
        <w:tc>
          <w:tcPr>
            <w:tcW w:w="15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6"/>
              </w:rPr>
              <w:t>Cash and cash equivalents</w:t>
            </w:r>
            <w:r>
              <w:rPr>
                <w:rFonts w:ascii="Times New Roman;serif" w:hAnsi="Times New Roman;serif"/>
                <w:b w:val="false"/>
                <w:color w:val="000000"/>
                <w:sz w:val="10"/>
              </w:rPr>
              <w:t>(A)</w:t>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1,198,141 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289,670 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908,471 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313.6 </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Restricted cash</w:t>
            </w:r>
          </w:p>
        </w:tc>
        <w:tc>
          <w:tcPr>
            <w:tcW w:w="1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68,637 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57,777 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18.8 </w:t>
            </w:r>
          </w:p>
        </w:tc>
        <w:tc>
          <w:tcPr>
            <w:tcW w:w="4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Loans held for sale, at fair value</w:t>
            </w:r>
          </w:p>
        </w:tc>
        <w:tc>
          <w:tcPr>
            <w:tcW w:w="1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404,337 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395,922 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2.1 </w:t>
            </w:r>
          </w:p>
        </w:tc>
        <w:tc>
          <w:tcPr>
            <w:tcW w:w="4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6"/>
              </w:rPr>
              <w:t>Digital assets</w:t>
            </w:r>
            <w:r>
              <w:rPr>
                <w:rFonts w:ascii="Times New Roman;serif" w:hAnsi="Times New Roman;serif"/>
                <w:b w:val="false"/>
                <w:color w:val="000000"/>
                <w:sz w:val="10"/>
              </w:rPr>
              <w:t>(A)</w:t>
            </w:r>
          </w:p>
        </w:tc>
        <w:tc>
          <w:tcPr>
            <w:tcW w:w="1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96,558 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75,448 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28.0 </w:t>
            </w:r>
          </w:p>
        </w:tc>
        <w:tc>
          <w:tcPr>
            <w:tcW w:w="4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receivable, net</w:t>
            </w:r>
          </w:p>
        </w:tc>
        <w:tc>
          <w:tcPr>
            <w:tcW w:w="1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52,016 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20,998 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31,018 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147.7 </w:t>
            </w:r>
          </w:p>
        </w:tc>
        <w:tc>
          <w:tcPr>
            <w:tcW w:w="4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Loan servicing asset, at fair value</w:t>
            </w:r>
          </w:p>
        </w:tc>
        <w:tc>
          <w:tcPr>
            <w:tcW w:w="1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113,064 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88,497 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24,567 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27.8 </w:t>
            </w:r>
          </w:p>
        </w:tc>
        <w:tc>
          <w:tcPr>
            <w:tcW w:w="4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Marketable securities, at fair value</w:t>
            </w:r>
          </w:p>
        </w:tc>
        <w:tc>
          <w:tcPr>
            <w:tcW w:w="1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273,151 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163,489 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109,662 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67.1 </w:t>
            </w:r>
          </w:p>
        </w:tc>
        <w:tc>
          <w:tcPr>
            <w:tcW w:w="4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Digital assets, non-current</w:t>
            </w:r>
          </w:p>
        </w:tc>
        <w:tc>
          <w:tcPr>
            <w:tcW w:w="1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3,644 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9,704 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(62.4)</w:t>
            </w:r>
          </w:p>
        </w:tc>
        <w:tc>
          <w:tcPr>
            <w:tcW w:w="4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LIABILITIES</w:t>
            </w:r>
          </w:p>
        </w:tc>
        <w:tc>
          <w:tcPr>
            <w:tcW w:w="15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liabilities:</w:t>
            </w:r>
          </w:p>
        </w:tc>
        <w:tc>
          <w:tcPr>
            <w:tcW w:w="15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Payables to third-party loan owners</w:t>
            </w:r>
          </w:p>
        </w:tc>
        <w:tc>
          <w:tcPr>
            <w:tcW w:w="1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383,772 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212,619 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80.5 </w:t>
            </w:r>
          </w:p>
        </w:tc>
        <w:tc>
          <w:tcPr>
            <w:tcW w:w="4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Debt, current</w:t>
            </w:r>
          </w:p>
        </w:tc>
        <w:tc>
          <w:tcPr>
            <w:tcW w:w="1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160,959 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305,294 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(144,335)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(47.3)</w:t>
            </w:r>
          </w:p>
        </w:tc>
        <w:tc>
          <w:tcPr>
            <w:tcW w:w="4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Debt, current to related parties</w:t>
            </w:r>
          </w:p>
        </w:tc>
        <w:tc>
          <w:tcPr>
            <w:tcW w:w="1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166,135 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n.m.</w:t>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current liabilities</w:t>
            </w:r>
          </w:p>
        </w:tc>
        <w:tc>
          <w:tcPr>
            <w:tcW w:w="1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105,642 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70,401 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50.1 </w:t>
            </w:r>
          </w:p>
        </w:tc>
        <w:tc>
          <w:tcPr>
            <w:tcW w:w="4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Debt, non-current</w:t>
            </w:r>
          </w:p>
        </w:tc>
        <w:tc>
          <w:tcPr>
            <w:tcW w:w="1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230,143 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167,882 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62,261 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37.1 </w:t>
            </w:r>
          </w:p>
        </w:tc>
        <w:tc>
          <w:tcPr>
            <w:tcW w:w="4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pPr>
      <w:r>
        <w:rPr>
          <w:rFonts w:ascii="Times New Roman;serif" w:hAnsi="Times New Roman;serif"/>
          <w:b w:val="false"/>
          <w:color w:val="000000"/>
          <w:sz w:val="13"/>
        </w:rPr>
        <w:t xml:space="preserve">(A) </w:t>
      </w:r>
      <w:r>
        <w:rPr>
          <w:rFonts w:ascii="Times New Roman;serif" w:hAnsi="Times New Roman;serif"/>
          <w:b w:val="false"/>
          <w:color w:val="000000"/>
          <w:sz w:val="16"/>
        </w:rPr>
        <w:t>During the current period, we reclassified payment stablecoins from “Digital assets” to “Cash and cash equivalents”. Prior period amounts have been recast to conform to the current period presentation. This reclassification resulted in an increase to “Cash and cash equivalents” and a corresponding decrease to “Digital assets” of $2.4 million as of December 31, 2024. For further information, see Note 2, Change in Accounting Principle, to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Assets</w:t>
      </w:r>
    </w:p>
    <w:p>
      <w:pPr>
        <w:pStyle w:val="TextBody"/>
        <w:bidi w:val="0"/>
        <w:spacing w:lineRule="auto" w:line="288" w:before="0" w:after="18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Cash, cash equivalents and restricted cash</w:t>
      </w:r>
    </w:p>
    <w:p>
      <w:pPr>
        <w:pStyle w:val="TextBody"/>
        <w:bidi w:val="0"/>
        <w:spacing w:lineRule="auto" w:line="288" w:before="0" w:after="180"/>
        <w:jc w:val="both"/>
        <w:rPr/>
      </w:pPr>
      <w:r>
        <w:rPr>
          <w:rFonts w:ascii="Times New Roman;serif" w:hAnsi="Times New Roman;serif"/>
          <w:b w:val="false"/>
          <w:color w:val="000000"/>
          <w:sz w:val="20"/>
        </w:rPr>
        <w:t xml:space="preserve">Cash and cash equivalents increased by $908.5 million, or 313.6%, as of December 31, 2025, compared to December 31, 2024, and restricted cash increased $10.9 million, or </w:t>
      </w:r>
      <w:r>
        <w:rPr>
          <w:rFonts w:ascii="Times New Roman;serif" w:hAnsi="Times New Roman;serif"/>
          <w:b w:val="false"/>
          <w:color w:val="000000"/>
          <w:sz w:val="20"/>
          <w:shd w:fill="FFFFFF" w:val="clear"/>
        </w:rPr>
        <w:t>18.8%</w:t>
      </w:r>
      <w:r>
        <w:rPr>
          <w:rFonts w:ascii="Times New Roman;serif" w:hAnsi="Times New Roman;serif"/>
          <w:b w:val="false"/>
          <w:color w:val="000000"/>
          <w:sz w:val="20"/>
        </w:rPr>
        <w:t>. Refer to “—Liquidity and Capital Resources—Cash Flows” for the drivers in the change of cash, cash equivalents and restricted cash provided by operating, investing and financing activities during the period.</w:t>
      </w:r>
    </w:p>
    <w:p>
      <w:pPr>
        <w:pStyle w:val="TextBody"/>
        <w:bidi w:val="0"/>
        <w:spacing w:lineRule="auto" w:line="288" w:before="0" w:after="18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Loans held for sale, at fair value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Loans held for sale, at fair value increased by $8.4 million, or 2.1%, as of December 31, 2025, compared to December 31, 2024, primarily due to originations of $3.7 billion and purchases of $3.3 billion offset by loan sales, net of repurchases, of $6.5 billion and principal payments of $460.3 million. We generally hold loans for a short period of time and the timing of loan sales and securitizations may impact the amounts carried at each period-end. Typically, the loan volumes we experience include seasonal variation that impact the growth of loans on our balance sheet during a fiscal year. Additionally, we anticipate activity on our Connect platform to grow, which may reduce the quantity of loans that we carry on our balance sheet over time.</w:t>
      </w:r>
    </w:p>
    <w:p>
      <w:pPr>
        <w:pStyle w:val="TextBody"/>
        <w:bidi w:val="0"/>
        <w:spacing w:lineRule="auto" w:line="288" w:before="0" w:after="18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Digital assets, current and non-current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Digital assets, current and non-current, increased $15.1 million, or 17.7%, as of December 31, 2025, compared to December 31, 2024, which represents the change in digital assets we hold for sale and the gross change of digital assets we hold as collateral. We recognize offsetting liabilities and changes thereon for digital assets held as collateral and do not record any net assets, gains, or losses thereon unless we are unable to liquidate collateral timely and are otherwise unable to collect amounts owed. We have not experienced any such losses to date.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46685"/>
                <wp:effectExtent l="0" t="0" r="0" b="0"/>
                <wp:wrapNone/>
                <wp:docPr id="114" name="Frame1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113</w:t>
                      </w:r>
                    </w:p>
                  </w:txbxContent>
                </v:textbox>
                <w10:wrap type="none"/>
              </v:rect>
            </w:pict>
          </mc:Fallback>
        </mc:AlternateContent>
      </w:r>
    </w:p>
    <w:p>
      <w:pPr>
        <w:pStyle w:val="TextBody"/>
        <w:bidi w:val="0"/>
        <w:spacing w:lineRule="auto" w:line="288" w:before="0" w:after="180"/>
        <w:jc w:val="left"/>
        <w:rPr/>
      </w:pPr>
      <w:hyperlink w:anchor="i8e13d1b6f3764394b0e424082d2ac79f_7">
        <w:r>
          <w:rPr>
            <w:rStyle w:val="InternetLink"/>
            <w:rFonts w:ascii="Times New Roman;serif" w:hAnsi="Times New Roman;serif"/>
            <w:b w:val="false"/>
            <w:color w:val="000080"/>
            <w:sz w:val="20"/>
            <w:u w:val="single"/>
          </w:rPr>
          <w:t>Table of Content</w:t>
        </w:r>
      </w:hyperlink>
      <w:hyperlink w:anchor="i8e13d1b6f3764394b0e424082d2ac79f_7">
        <w:r>
          <w:rPr>
            <w:rStyle w:val="InternetLink"/>
            <w:rFonts w:ascii="Times New Roman;serif" w:hAnsi="Times New Roman;serif"/>
            <w:b w:val="false"/>
            <w:color w:val="000080"/>
            <w:sz w:val="20"/>
            <w:u w:val="single"/>
          </w:rPr>
          <w: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Digital assets held as collateral, gross of offsetting liabilities, decreased $11.9 million during the year ended December 31, 2025, due to a decrease of $3.5 million in Bitcoin holdings as a result of decreases in both the quantity and price of Bitcoin, and an $8.4 million decrease in Ethereum holdings, also due to decreases in both the quantity and price of Ethereum.</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Digital assets held at fair value increased $16.7 million at December 31, 2025 primarily due to new holdings in Kamino Liquidity Pools of $23.5 million that were not held as of December 31, 2024, partially offset by a decrease in both the quantity and price of Solana holdings of $7.1 million compared to the prior year.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Digital assets held at cost increased $10.2 million at December 31, 2025 primarily due to a $10.2 million increase in HASH as a result of the settlement of the Provenance Blockchain Foundation related party loan in HASH.</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See Note 3 in the Consolidated Financial Statements for further discussion on digital assets.</w:t>
      </w:r>
    </w:p>
    <w:p>
      <w:pPr>
        <w:pStyle w:val="TextBody"/>
        <w:bidi w:val="0"/>
        <w:spacing w:lineRule="auto" w:line="288" w:before="0" w:after="18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Accounts receivable, net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Accounts receivable, net increased $31.0 million, or 147.7%, as of December 31, 2025 compared to December 31, 2024, primarily driven by a $28.5 million increase in trade accounts receivable, which is driven by overall increased Partner-branded volume. Management continues to monitor customer credit exposure and collection trends. </w:t>
      </w:r>
    </w:p>
    <w:p>
      <w:pPr>
        <w:pStyle w:val="TextBody"/>
        <w:bidi w:val="0"/>
        <w:spacing w:lineRule="auto" w:line="288" w:before="0" w:after="18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Loan servicing asset, at fair value</w:t>
      </w:r>
    </w:p>
    <w:p>
      <w:pPr>
        <w:pStyle w:val="TextBody"/>
        <w:bidi w:val="0"/>
        <w:spacing w:lineRule="auto" w:line="288" w:before="0" w:after="18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Loan servicing asset, at fair value, increased $24.6 million, or 27.8%, as of December 31, 2025 compared to December 31, 2024, reflecting a $60.7 million increase, or 20.1%, in the unpaid principal balance of loans serviced during the year ended December 31, 2025, partially offset by a $28.2 million decrease in servicing fee collections and a $7.9 million reduction in the estimated fair value of servicing assets held based upon changes in valuation assumptions. See Note 4 in the Consolidated Financial Statements for further discussion on loan servicing assets.</w:t>
      </w:r>
    </w:p>
    <w:p>
      <w:pPr>
        <w:pStyle w:val="TextBody"/>
        <w:bidi w:val="0"/>
        <w:spacing w:lineRule="auto" w:line="288" w:before="0" w:after="18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Marketable securities, at fair value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Marketable securities, at fair value increased $109.7 million, or 67.1%, as of December 31, 2025, compared to December 31, 2024, primarily due to an increase in the volume of new securitizations that closed during the year in which the Company generally retained 5% of the total fair value contributed into securitizations, in the form of marketable securities. The newly retained marketable securities are partially offset by the scheduled paydown of existing marketable securities.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Liabilities</w:t>
      </w:r>
    </w:p>
    <w:p>
      <w:pPr>
        <w:pStyle w:val="TextBody"/>
        <w:bidi w:val="0"/>
        <w:spacing w:lineRule="auto" w:line="288" w:before="0" w:after="18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Payables to third-party loan owners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Payables to third-party loan owners increased $171.2 million, or 80.5%, as of December 31, 2025, compared to December 31, 2024, due to an increase in our servicing portfolio. The overall balance may fluctuate based on timing of collections and payments to third-party loan owners. </w:t>
      </w:r>
    </w:p>
    <w:p>
      <w:pPr>
        <w:pStyle w:val="TextBody"/>
        <w:bidi w:val="0"/>
        <w:spacing w:lineRule="auto" w:line="288" w:before="0" w:after="18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Debt, current and non-current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Total current debt, including related party, increased by $21.8 million, or 7.1%, primarily due to the $40.0 million debt to Lender 1 for the MSR financing becoming current as of December 31, 2025, compared to December 31, 2024. Debt, non-current increased by $62.3 million, or 37.1%, primarily due to the increase in financed retained interests primarily as a result of new securitizations that closed during the quarter. </w:t>
      </w:r>
    </w:p>
    <w:p>
      <w:pPr>
        <w:pStyle w:val="TextBody"/>
        <w:bidi w:val="0"/>
        <w:spacing w:lineRule="auto" w:line="288" w:before="0" w:after="18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Other current liabilities</w:t>
      </w:r>
    </w:p>
    <w:p>
      <w:pPr>
        <w:pStyle w:val="TextBody"/>
        <w:bidi w:val="0"/>
        <w:spacing w:lineRule="auto" w:line="288" w:before="0" w:after="180"/>
        <w:jc w:val="both"/>
        <w:rPr/>
      </w:pPr>
      <w:r>
        <w:rPr>
          <w:rFonts w:ascii="Times New Roman;serif" w:hAnsi="Times New Roman;serif"/>
          <w:b w:val="false"/>
          <w:color w:val="000000"/>
          <w:sz w:val="20"/>
          <w:shd w:fill="FFFFFF" w:val="clear"/>
        </w:rPr>
        <w:t xml:space="preserve">Other current liabilities increased $35.2 million, or 50.1%, as of December 31, 2025 compared to December 31, 2024, primarily driven by a </w:t>
      </w:r>
      <w:r>
        <w:rPr>
          <w:rFonts w:ascii="Times New Roman;serif" w:hAnsi="Times New Roman;serif"/>
          <w:b w:val="false"/>
          <w:color w:val="000000"/>
          <w:sz w:val="20"/>
        </w:rPr>
        <w:t>$22.5 million</w:t>
      </w:r>
      <w:r>
        <w:rPr>
          <w:color w:val="000000"/>
          <w:shd w:fill="FFFFFF" w:val="clear"/>
        </w:rPr>
        <w:t xml:space="preserve"> </w:t>
      </w:r>
      <w:r>
        <w:rPr>
          <w:rFonts w:ascii="Times New Roman;serif" w:hAnsi="Times New Roman;serif"/>
          <w:b w:val="false"/>
          <w:color w:val="000000"/>
          <w:sz w:val="20"/>
          <w:shd w:fill="FFFFFF" w:val="clear"/>
        </w:rPr>
        <w:t xml:space="preserve">increase in liabilities due to the growth of deposit activity on Democratized Prime, a </w:t>
      </w:r>
      <w:r>
        <w:rPr>
          <w:rFonts w:ascii="Times New Roman;serif" w:hAnsi="Times New Roman;serif"/>
          <w:b w:val="false"/>
          <w:color w:val="000000"/>
          <w:sz w:val="20"/>
        </w:rPr>
        <w:t>$9.2 million</w:t>
      </w:r>
      <w:r>
        <w:rPr>
          <w:color w:val="000000"/>
          <w:shd w:fill="FFFFFF" w:val="clear"/>
        </w:rPr>
        <w:t xml:space="preserve"> </w:t>
      </w:r>
      <w:r>
        <w:rPr>
          <w:rFonts w:ascii="Times New Roman;serif" w:hAnsi="Times New Roman;serif"/>
          <w:b w:val="false"/>
          <w:color w:val="000000"/>
          <w:sz w:val="20"/>
          <w:shd w:fill="FFFFFF" w:val="clear"/>
        </w:rPr>
        <w:t xml:space="preserve">liability related to participation in Kamino liquidity pools, and an </w:t>
      </w:r>
      <w:r>
        <w:rPr>
          <w:rFonts w:ascii="Times New Roman;serif" w:hAnsi="Times New Roman;serif"/>
          <w:b w:val="false"/>
          <w:color w:val="000000"/>
          <w:sz w:val="20"/>
        </w:rPr>
        <w:t>$11.0 million</w:t>
      </w:r>
      <w:r>
        <w:rPr>
          <w:color w:val="000000"/>
          <w:shd w:fill="FFFFFF" w:val="clear"/>
        </w:rPr>
        <w:t xml:space="preserve"> </w:t>
      </w:r>
      <w:r>
        <w:rPr>
          <w:rFonts w:ascii="Times New Roman;serif" w:hAnsi="Times New Roman;serif"/>
          <w:b w:val="false"/>
          <w:color w:val="000000"/>
          <w:sz w:val="20"/>
          <w:shd w:fill="FFFFFF" w:val="clear"/>
        </w:rPr>
        <w:t>increase in payables related to loan purchases from partners. This was partially offset by a decrease of $11.9 million on crypto collateral held due to a decrease due to both the quantity and price of crypto assets held as collateral.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46685"/>
                <wp:effectExtent l="0" t="0" r="0" b="0"/>
                <wp:wrapNone/>
                <wp:docPr id="115" name="Frame1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114</w:t>
                      </w:r>
                    </w:p>
                  </w:txbxContent>
                </v:textbox>
                <w10:wrap type="none"/>
              </v:rect>
            </w:pict>
          </mc:Fallback>
        </mc:AlternateContent>
      </w:r>
    </w:p>
    <w:p>
      <w:pPr>
        <w:pStyle w:val="TextBody"/>
        <w:bidi w:val="0"/>
        <w:spacing w:lineRule="auto" w:line="288" w:before="0" w:after="180"/>
        <w:jc w:val="left"/>
        <w:rPr/>
      </w:pPr>
      <w:hyperlink w:anchor="i8e13d1b6f3764394b0e424082d2ac79f_7">
        <w:r>
          <w:rPr>
            <w:rStyle w:val="InternetLink"/>
            <w:rFonts w:ascii="Times New Roman;serif" w:hAnsi="Times New Roman;serif"/>
            <w:b w:val="false"/>
            <w:color w:val="000080"/>
            <w:sz w:val="20"/>
            <w:u w:val="single"/>
          </w:rPr>
          <w:t>Table of Content</w:t>
        </w:r>
      </w:hyperlink>
      <w:hyperlink w:anchor="i8e13d1b6f3764394b0e424082d2ac79f_7">
        <w:r>
          <w:rPr>
            <w:rStyle w:val="InternetLink"/>
            <w:rFonts w:ascii="Times New Roman;serif" w:hAnsi="Times New Roman;serif"/>
            <w:b w:val="false"/>
            <w:color w:val="000080"/>
            <w:sz w:val="20"/>
            <w:u w:val="single"/>
          </w:rPr>
          <w:t>s</w:t>
        </w:r>
      </w:hyperlink>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Sources and Uses of Funds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maintain a capital-efficient model by utilizing a diverse set of funding sources. When we originate a loan directly or purchase a loan originated by our origination partners, we often utilize warehouse credit facilities with certain lenders to finance our lending activities or loan purchases. We sell the loans we originate or purchase from our origination partners to whole loan buyers and securitization investors, and earn servicing fees from continuing to act as the servicer on the loans. We proactively manage the allocation of loans on our platform across various funding channels based on several factors including, but not limited to, internal risk limits and policies, capital market conditions and channel economics. Our excess funding capacity and long-term relationships with a diverse group of existing funding partners help provide flexibility as we optimize our funding to support the growth in loan volume. For those loans sold through Figure Connect, we also collect fees as a source of funds. Our principal sources of liquidity are cash and cash equivalents, digital assets, available for sale securities, available capacity from warehouse and revolving credit facilities, securitization trusts, forward flow loan sale arrangements, and cash flows from our operations.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On September 12, 2025, we closed our IPO of our Class A common stock. The total net proceeds received were approximately $663.4 million after deducting underwriting discounts and commissions, and before offering expenses payable by us. We intend to use the net proceeds for general corporate purposes, including working capital, operating expenses, and capital expenditures. Additionally, we may use a portion of the net proceeds to acquire or invest in businesses, products, services, or technologies.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As of December 31, 2025, we had $1.2 billion in cash and cash equivalents, $68.6 million in restricted cash, $47.6 million in digital assets, excluding digital assets held as collateral, and approximately $1.8 billion in available Funding Debt capacity, excluding purchase commitments from third-party loan buyers. As of December 31, 2024, we had $289.7 million in cash and cash equivalents, $57.8 million in restricted cash, $20.7 million in digital assets held, excluding digital assets held as collateral, and $1.3 billion in available Funding Debt capacity, excluding purchase commitments from third-party loan buyers. Our restricted cash primarily relates to cash held by us on behalf of third-party loan sellers or buyers that represent collection of principal and interest from loan borrowers that we remit to those third parties as servicer of those loans. </w:t>
      </w:r>
    </w:p>
    <w:p>
      <w:pPr>
        <w:pStyle w:val="TextBody"/>
        <w:bidi w:val="0"/>
        <w:spacing w:lineRule="auto" w:line="288" w:before="0" w:after="180"/>
        <w:jc w:val="both"/>
        <w:rPr/>
      </w:pPr>
      <w:r>
        <w:rPr>
          <w:rFonts w:ascii="Times New Roman;serif" w:hAnsi="Times New Roman;serif"/>
          <w:b w:val="false"/>
          <w:color w:val="000000"/>
          <w:sz w:val="20"/>
        </w:rPr>
        <w:t xml:space="preserve">Based on our current business plan and revenue prospects, we believe that our existing cash and cash equivalents, our anticipated cash flows from operations, and our available Funding Debt capacity will be sufficient to meet our working capital and operating resource expenditure requirements for at least the next 12 months from the date of this Annual Report. </w:t>
      </w:r>
      <w:r>
        <w:rPr>
          <w:rFonts w:ascii="Times New Roman;serif" w:hAnsi="Times New Roman;serif"/>
          <w:b w:val="false"/>
          <w:color w:val="000000"/>
          <w:sz w:val="20"/>
          <w:shd w:fill="FFFFFF" w:val="clear"/>
        </w:rPr>
        <w:t>Beyond the next 12 months, we expect our long-term liquidity needs to consist primarily of working capital requirements and ongoing investments to support growth. We intend to maintain a strong liquidity position to provide flexibility to pursue strategic opportunities and manage potential variability in operating cash flows. As a result, we do not currently expect to require additional external financing to support our business operations over the long term.</w:t>
      </w:r>
    </w:p>
    <w:p>
      <w:pPr>
        <w:pStyle w:val="TextBody"/>
        <w:bidi w:val="0"/>
        <w:spacing w:lineRule="auto" w:line="288" w:before="0" w:after="18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Other Funding Sources</w:t>
      </w:r>
    </w:p>
    <w:p>
      <w:pPr>
        <w:pStyle w:val="TextBody"/>
        <w:bidi w:val="0"/>
        <w:spacing w:lineRule="auto" w:line="288" w:before="0" w:after="180"/>
        <w:jc w:val="both"/>
        <w:rPr/>
      </w:pPr>
      <w:r>
        <w:rPr>
          <w:rFonts w:ascii="Times New Roman;serif" w:hAnsi="Times New Roman;serif"/>
          <w:b w:val="false"/>
          <w:color w:val="000000"/>
          <w:sz w:val="20"/>
          <w:shd w:fill="FFFFFF" w:val="clear"/>
        </w:rPr>
        <w:t xml:space="preserve">In connection with asset-backed securitizations, we sponsor and establish trusts (deemed to be VIEs) to ultimately purchase loans facilitated by our platform. Securities issued from our asset-backed securitizations are senior or subordinated, based on the waterfall criteria of loan payments to each security class. The subordinated residual interests issued from these transactions are first to absorb credit losses in accordance with the waterfall criteria. We consolidate securitization VIEs when we are deemed to be the primary beneficiary and therefore have the power to direct the activities that most significantly affect the VIEs’ economic performance and a variable interest that could potentially be significant to the VIE. Where we consolidate the securitization trusts, if any, the loans held in the securitization trusts are included in loans held for investment, and the notes sold to third-party investors are recorded in notes issued by securitization trusts in the consolidated balance sheets. We did not consolidate any securitization VIEs at December 31, 2025 or December 31, 2024. Refer to Note 9 in the </w:t>
      </w:r>
      <w:r>
        <w:rPr>
          <w:rFonts w:ascii="Times New Roman;serif" w:hAnsi="Times New Roman;serif"/>
          <w:b w:val="false"/>
          <w:color w:val="000000"/>
          <w:sz w:val="20"/>
        </w:rPr>
        <w:t>Consolidated Financial Statements</w:t>
      </w:r>
      <w:r>
        <w:rPr>
          <w:color w:val="000000"/>
          <w:shd w:fill="FFFFFF" w:val="clear"/>
        </w:rPr>
        <w:t xml:space="preserve"> </w:t>
      </w:r>
      <w:r>
        <w:rPr>
          <w:rFonts w:ascii="Times New Roman;serif" w:hAnsi="Times New Roman;serif"/>
          <w:b w:val="false"/>
          <w:color w:val="000000"/>
          <w:sz w:val="20"/>
          <w:shd w:fill="FFFFFF" w:val="clear"/>
        </w:rPr>
        <w:t>for further details.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Debt Obligations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Warehouse Credit Facilities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fund substantially all of the loans we close on a short-term basis primarily through our warehouse credit facilities and from our operations. Loan production activities generally require short-term liquidity in excess of amounts generated by our operations. The loans we originate are financed through several warehouse credit facilities. Our borrowings are in turn generally repaid with the proceeds we receive from loan sales. We maintain warehouse credit facilities with separate third-party lenders through FL LLC, Figure REIT, Inc., Figure Markets Credit LLC, and their subsidiaries. Our warehouse credit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46685"/>
                <wp:effectExtent l="0" t="0" r="0" b="0"/>
                <wp:wrapNone/>
                <wp:docPr id="116" name="Frame1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115</w:t>
                      </w:r>
                    </w:p>
                  </w:txbxContent>
                </v:textbox>
                <w10:wrap type="none"/>
              </v:rect>
            </w:pict>
          </mc:Fallback>
        </mc:AlternateContent>
      </w:r>
    </w:p>
    <w:p>
      <w:pPr>
        <w:pStyle w:val="TextBody"/>
        <w:bidi w:val="0"/>
        <w:spacing w:lineRule="auto" w:line="288" w:before="0" w:after="180"/>
        <w:jc w:val="left"/>
        <w:rPr/>
      </w:pPr>
      <w:hyperlink w:anchor="i8e13d1b6f3764394b0e424082d2ac79f_7">
        <w:r>
          <w:rPr>
            <w:rStyle w:val="InternetLink"/>
            <w:rFonts w:ascii="Times New Roman;serif" w:hAnsi="Times New Roman;serif"/>
            <w:b w:val="false"/>
            <w:color w:val="000080"/>
            <w:sz w:val="20"/>
            <w:u w:val="single"/>
          </w:rPr>
          <w:t>Table of Content</w:t>
        </w:r>
      </w:hyperlink>
      <w:hyperlink w:anchor="i8e13d1b6f3764394b0e424082d2ac79f_7">
        <w:r>
          <w:rPr>
            <w:rStyle w:val="InternetLink"/>
            <w:rFonts w:ascii="Times New Roman;serif" w:hAnsi="Times New Roman;serif"/>
            <w:b w:val="false"/>
            <w:color w:val="000080"/>
            <w:sz w:val="20"/>
            <w:u w:val="single"/>
          </w:rPr>
          <w: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facilities are primarily in the form of master repurchase agreements and loan participation agreements. Loans financed under these facilities are generally financed at approximately 80% to 100% of the principal balance of the loan (although certain types of loans are financed at lower percentages of the principal balance of the loan). Loans financed at less than 100% of the principal balance require us to fund the balance from cash generated from our operations. Once closed, the underlying loan that is held for sale is pledged as collateral for the borrowing or advance that was made under our warehouse credit facilities. In most cases, the loans will remain in one of the warehouse credit facilities for only a short time, generally less than one month, until the loans are sold. During the time the loans are held for sale, we earn interest income from the customer on the underlying loan. This income is partially offset by the interest and fees we pay due to borrowings from the warehouse credit facilities.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Borrowing capacity of committed debt facilities as of December 31, 2025 include the following:</w:t>
      </w:r>
    </w:p>
    <w:tbl>
      <w:tblPr>
        <w:tblW w:w="9810" w:type="dxa"/>
        <w:jc w:val="left"/>
        <w:tblInd w:w="0" w:type="dxa"/>
        <w:tblLayout w:type="fixed"/>
        <w:tblCellMar>
          <w:top w:w="28" w:type="dxa"/>
          <w:left w:w="28" w:type="dxa"/>
          <w:bottom w:w="28" w:type="dxa"/>
          <w:right w:w="28" w:type="dxa"/>
        </w:tblCellMar>
      </w:tblPr>
      <w:tblGrid>
        <w:gridCol w:w="722"/>
        <w:gridCol w:w="635"/>
        <w:gridCol w:w="637"/>
        <w:gridCol w:w="109"/>
        <w:gridCol w:w="109"/>
        <w:gridCol w:w="109"/>
        <w:gridCol w:w="564"/>
        <w:gridCol w:w="564"/>
        <w:gridCol w:w="566"/>
        <w:gridCol w:w="109"/>
        <w:gridCol w:w="109"/>
        <w:gridCol w:w="109"/>
        <w:gridCol w:w="265"/>
        <w:gridCol w:w="1178"/>
        <w:gridCol w:w="147"/>
        <w:gridCol w:w="109"/>
        <w:gridCol w:w="109"/>
        <w:gridCol w:w="109"/>
        <w:gridCol w:w="305"/>
        <w:gridCol w:w="1146"/>
        <w:gridCol w:w="169"/>
        <w:gridCol w:w="109"/>
        <w:gridCol w:w="109"/>
        <w:gridCol w:w="109"/>
        <w:gridCol w:w="257"/>
        <w:gridCol w:w="1145"/>
        <w:gridCol w:w="202"/>
      </w:tblGrid>
      <w:tr>
        <w:trPr/>
        <w:tc>
          <w:tcPr>
            <w:tcW w:w="722"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Final Stated Maturity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Borrowing Capacity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Balance Outstanding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Available Financing</w:t>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Funding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Warehouse Facility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May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150,000 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2,904 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147,096 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Warehouse Facility 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January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335,300 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7,039 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328,261 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REIT Warehouse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December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200,000 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199,250 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Warehouse Facility 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May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250,000 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250,000 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r>
      <w:tr>
        <w:trPr/>
        <w:tc>
          <w:tcPr>
            <w:tcW w:w="1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r>
      <w:tr>
        <w:trPr/>
        <w:tc>
          <w:tcPr>
            <w:tcW w:w="1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Warehouse Facility 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April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300,000 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298,300 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Warehouse Facility 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June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300,000 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6,063 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293,937 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Digital Asset Loan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October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30,000 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3,097 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26,903 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MSR financing: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Lender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June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40,000 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40,000 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Financed retained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Retained Interest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Various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500,000 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231,633 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268,367 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2,105,300 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293,186 </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1,812,114 </w:t>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Refer to Note 6 in the Consolidated Financial Statements for further details on our Warehouse Facilities and borrowing capacity.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Other than as noted above, our warehouse credit facilities bear floating interest rates, are payable on a monthly basis, and contain certain financial covenants, such as minimum tangible net worth, minimum liquidity, maximum leverage ratios, required range of net income or loss during specified periods, and periodic financial reporting requirements. Failure to comply with these covenants may result in an acceleration of payment on outstanding principal and accrued interest. As of December 31, 2025 and 2024 we were in compliance with the applicable covenants under each of our warehouse credit facilities. Our future capital requirements will depend on many factors, including, but not limited to, our continued access to debt facilities on terms that are favorable to us, our growth, our ability to attract and retain customers, the continuing market acceptance of our offerings, the timing and extent of spending to support our efforts to develop our platform and the expansion of sales and marketing activities. Further, we may in the future enter into arrangements to acquire or invest in businesses, products, services, and technologies. From time to time, we may explore additional financing sources and means to lower our cost of capital, which could include equity, equity-linked, and debt financing. We cannot assure you that any additional financing will be available to us on acceptable terms, or at all. If we raise additional funds by issuing equity or equity-linked securities, the ownership of our existing stockholders will be diluted.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46685"/>
                <wp:effectExtent l="0" t="0" r="0" b="0"/>
                <wp:wrapNone/>
                <wp:docPr id="117" name="Frame1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116</w:t>
                      </w:r>
                    </w:p>
                  </w:txbxContent>
                </v:textbox>
                <w10:wrap type="none"/>
              </v:rect>
            </w:pict>
          </mc:Fallback>
        </mc:AlternateContent>
      </w:r>
    </w:p>
    <w:p>
      <w:pPr>
        <w:pStyle w:val="TextBody"/>
        <w:bidi w:val="0"/>
        <w:spacing w:lineRule="auto" w:line="288" w:before="0" w:after="180"/>
        <w:jc w:val="left"/>
        <w:rPr/>
      </w:pPr>
      <w:hyperlink w:anchor="i8e13d1b6f3764394b0e424082d2ac79f_7">
        <w:r>
          <w:rPr>
            <w:rStyle w:val="InternetLink"/>
            <w:rFonts w:ascii="Times New Roman;serif" w:hAnsi="Times New Roman;serif"/>
            <w:b w:val="false"/>
            <w:color w:val="000080"/>
            <w:sz w:val="20"/>
            <w:u w:val="single"/>
          </w:rPr>
          <w:t>Table of Content</w:t>
        </w:r>
      </w:hyperlink>
      <w:hyperlink w:anchor="i8e13d1b6f3764394b0e424082d2ac79f_7">
        <w:r>
          <w:rPr>
            <w:rStyle w:val="InternetLink"/>
            <w:rFonts w:ascii="Times New Roman;serif" w:hAnsi="Times New Roman;serif"/>
            <w:b w:val="false"/>
            <w:color w:val="000080"/>
            <w:sz w:val="20"/>
            <w:u w:val="single"/>
          </w:rPr>
          <w:t>s</w:t>
        </w:r>
      </w:hyperlink>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Cash Flows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consolidated cash flows for the periods indicated:</w:t>
      </w:r>
    </w:p>
    <w:tbl>
      <w:tblPr>
        <w:tblW w:w="6188" w:type="dxa"/>
        <w:jc w:val="left"/>
        <w:tblInd w:w="0" w:type="dxa"/>
        <w:tblLayout w:type="fixed"/>
        <w:tblCellMar>
          <w:top w:w="28" w:type="dxa"/>
          <w:left w:w="28" w:type="dxa"/>
          <w:bottom w:w="28" w:type="dxa"/>
          <w:right w:w="28" w:type="dxa"/>
        </w:tblCellMar>
      </w:tblPr>
      <w:tblGrid>
        <w:gridCol w:w="1358"/>
        <w:gridCol w:w="1194"/>
        <w:gridCol w:w="1197"/>
        <w:gridCol w:w="196"/>
        <w:gridCol w:w="646"/>
        <w:gridCol w:w="109"/>
        <w:gridCol w:w="109"/>
        <w:gridCol w:w="109"/>
        <w:gridCol w:w="109"/>
        <w:gridCol w:w="196"/>
        <w:gridCol w:w="811"/>
        <w:gridCol w:w="154"/>
      </w:tblGrid>
      <w:tr>
        <w:trPr/>
        <w:tc>
          <w:tcPr>
            <w:tcW w:w="1358"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Years Ended December 31,</w:t>
            </w:r>
          </w:p>
        </w:tc>
      </w:tr>
      <w:tr>
        <w:trPr/>
        <w:tc>
          <w:tcPr>
            <w:tcW w:w="37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Net cash provided by (used in) operating activities</w:t>
            </w:r>
            <w:r>
              <w:rPr>
                <w:rFonts w:ascii="Times New Roman;serif" w:hAnsi="Times New Roman;serif"/>
                <w:b w:val="false"/>
                <w:color w:val="000000"/>
                <w:sz w:val="10"/>
              </w:rPr>
              <w:t>(A)</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62,568 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(127,012)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Net cash used in investing activities</w:t>
            </w:r>
            <w:r>
              <w:rPr>
                <w:rFonts w:ascii="Times New Roman;serif" w:hAnsi="Times New Roman;serif"/>
                <w:b w:val="false"/>
                <w:color w:val="000000"/>
                <w:sz w:val="10"/>
              </w:rPr>
              <w:t>(A)(B)</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(61,275)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(37,445)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financing activities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918,038 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336,124 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both"/>
        <w:rPr/>
      </w:pPr>
      <w:r>
        <w:rPr>
          <w:rFonts w:ascii="Times New Roman;serif" w:hAnsi="Times New Roman;serif"/>
          <w:b w:val="false"/>
          <w:color w:val="000000"/>
          <w:sz w:val="10"/>
        </w:rPr>
        <w:t xml:space="preserve">(A) </w:t>
      </w:r>
      <w:r>
        <w:rPr>
          <w:rFonts w:ascii="Times New Roman;serif" w:hAnsi="Times New Roman;serif"/>
          <w:b w:val="false"/>
          <w:color w:val="000000"/>
          <w:sz w:val="16"/>
        </w:rPr>
        <w:t>During the current period, we corrected the prior period presentation of retained beneficial interests in loan securitization transactions in the Consolidated Statements of Cash Flows. This correction resulted in a net increase to operating activities of $9.0 million and a net decrease to investing activities of $9.0 million for the year ended December 31, 2024. For further information, see Note 2 to the Consolidated Financial Statements.</w:t>
      </w:r>
    </w:p>
    <w:p>
      <w:pPr>
        <w:pStyle w:val="TextBody"/>
        <w:bidi w:val="0"/>
        <w:spacing w:lineRule="auto" w:line="288" w:before="0" w:after="180"/>
        <w:ind w:left="0" w:right="0" w:hanging="180"/>
        <w:jc w:val="both"/>
        <w:rPr/>
      </w:pPr>
      <w:r>
        <w:rPr>
          <w:rFonts w:ascii="Times New Roman;serif" w:hAnsi="Times New Roman;serif"/>
          <w:b w:val="false"/>
          <w:color w:val="000000"/>
          <w:sz w:val="10"/>
        </w:rPr>
        <w:t xml:space="preserve">(B) </w:t>
      </w:r>
      <w:r>
        <w:rPr>
          <w:rFonts w:ascii="Times New Roman;serif" w:hAnsi="Times New Roman;serif"/>
          <w:b w:val="false"/>
          <w:color w:val="000000"/>
          <w:sz w:val="16"/>
        </w:rPr>
        <w:t>During the current period, we reclassified USDC stablecoins from “Digital assets” to “Cash and cash equivalents” on the Consolidated Balance Sheets. Prior period amounts have been recast to conform to the current period presentation. This reclassification resulted in a net increase to investing activities on the Consolidated Statements of Cash Flows of $2.4 million for the year ended December 31, 2024 and a corresponding increase to Cash and Cash Equivalents. For further information, see Note 2 to the Consolidated Financial Statements.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Net Cash from Operating Activities</w:t>
      </w:r>
    </w:p>
    <w:p>
      <w:pPr>
        <w:pStyle w:val="TextBody"/>
        <w:bidi w:val="0"/>
        <w:spacing w:lineRule="auto" w:line="288" w:before="0" w:after="180"/>
        <w:jc w:val="both"/>
        <w:rPr/>
      </w:pPr>
      <w:r>
        <w:rPr>
          <w:rFonts w:ascii="Times New Roman;serif" w:hAnsi="Times New Roman;serif"/>
          <w:b w:val="false"/>
          <w:color w:val="000000"/>
          <w:sz w:val="20"/>
          <w:shd w:fill="FFFFFF" w:val="clear"/>
        </w:rPr>
        <w:t xml:space="preserve">Net cash provided by operating activities was $62.6 million for the year ended December 31, 2025, which consisted of net income of $134.3 million, working capital adjustments of $56.6 million, and non-cash adjustments of $(128.3) million. The working capital adjustments were driven by proceeds from loan sales, net of repurchases of </w:t>
      </w:r>
      <w:r>
        <w:rPr>
          <w:rFonts w:ascii="Times New Roman;serif" w:hAnsi="Times New Roman;serif"/>
          <w:b w:val="false"/>
          <w:color w:val="000000"/>
          <w:sz w:val="20"/>
        </w:rPr>
        <w:t>$6.6 billion</w:t>
      </w:r>
      <w:r>
        <w:rPr>
          <w:color w:val="000000"/>
          <w:shd w:fill="FFFFFF" w:val="clear"/>
        </w:rPr>
        <w:t xml:space="preserve"> </w:t>
      </w:r>
      <w:r>
        <w:rPr>
          <w:rFonts w:ascii="Times New Roman;serif" w:hAnsi="Times New Roman;serif"/>
          <w:b w:val="false"/>
          <w:color w:val="000000"/>
          <w:sz w:val="20"/>
          <w:shd w:fill="FFFFFF" w:val="clear"/>
        </w:rPr>
        <w:t xml:space="preserve">and principal payments on loans held for sale of $429.2 million, partially offset by originations of loans held for sale of </w:t>
      </w:r>
      <w:r>
        <w:rPr>
          <w:rFonts w:ascii="Times New Roman;serif" w:hAnsi="Times New Roman;serif"/>
          <w:b w:val="false"/>
          <w:color w:val="000000"/>
          <w:sz w:val="20"/>
        </w:rPr>
        <w:t>$3.6 billion</w:t>
      </w:r>
      <w:r>
        <w:rPr>
          <w:color w:val="000000"/>
          <w:shd w:fill="FFFFFF" w:val="clear"/>
        </w:rPr>
        <w:t xml:space="preserve"> </w:t>
      </w:r>
      <w:r>
        <w:rPr>
          <w:rFonts w:ascii="Times New Roman;serif" w:hAnsi="Times New Roman;serif"/>
          <w:b w:val="false"/>
          <w:color w:val="000000"/>
          <w:sz w:val="20"/>
          <w:shd w:fill="FFFFFF" w:val="clear"/>
        </w:rPr>
        <w:t xml:space="preserve">and purchases of loans held for sale of </w:t>
      </w:r>
      <w:r>
        <w:rPr>
          <w:rFonts w:ascii="Times New Roman;serif" w:hAnsi="Times New Roman;serif"/>
          <w:b w:val="false"/>
          <w:color w:val="000000"/>
          <w:sz w:val="20"/>
        </w:rPr>
        <w:t>$3.3 billion</w:t>
      </w:r>
      <w:r>
        <w:rPr>
          <w:rFonts w:ascii="Times New Roman;serif" w:hAnsi="Times New Roman;serif"/>
          <w:b w:val="false"/>
          <w:color w:val="000000"/>
          <w:sz w:val="20"/>
          <w:shd w:fill="FFFFFF" w:val="clear"/>
        </w:rPr>
        <w:t xml:space="preserve">. Additionally, working capital adjustments were impacted by accounts receivable of </w:t>
      </w:r>
      <w:r>
        <w:rPr>
          <w:rFonts w:ascii="Times New Roman;serif" w:hAnsi="Times New Roman;serif"/>
          <w:b w:val="false"/>
          <w:color w:val="000000"/>
          <w:sz w:val="20"/>
        </w:rPr>
        <w:t>$33.0 million.</w:t>
      </w:r>
      <w:r>
        <w:rPr>
          <w:color w:val="000000"/>
          <w:shd w:fill="FFFFFF" w:val="clear"/>
        </w:rPr>
        <w:t xml:space="preserve"> </w:t>
      </w:r>
      <w:r>
        <w:rPr>
          <w:rFonts w:ascii="Times New Roman;serif" w:hAnsi="Times New Roman;serif"/>
          <w:b w:val="false"/>
          <w:color w:val="000000"/>
          <w:sz w:val="20"/>
          <w:shd w:fill="FFFFFF" w:val="clear"/>
        </w:rPr>
        <w:t xml:space="preserve">The non-cash adjustments were primarily driven by gain on sale of loans, net, of $173.7 million, gains on servicing assets, net, of $24.6 million, and deferred income taxes of </w:t>
      </w:r>
      <w:r>
        <w:rPr>
          <w:rFonts w:ascii="Times New Roman;serif" w:hAnsi="Times New Roman;serif"/>
          <w:b w:val="false"/>
          <w:color w:val="000000"/>
          <w:sz w:val="20"/>
        </w:rPr>
        <w:t xml:space="preserve">$26.0 million, </w:t>
      </w:r>
      <w:r>
        <w:rPr>
          <w:rFonts w:ascii="Times New Roman;serif" w:hAnsi="Times New Roman;serif"/>
          <w:b w:val="false"/>
          <w:color w:val="000000"/>
          <w:sz w:val="20"/>
          <w:shd w:fill="FFFFFF" w:val="clear"/>
        </w:rPr>
        <w:t xml:space="preserve">partially offset by $62.4 million in stock based compensation, $16.3 million in amortization of internally developed software, and services exchanged for the issuance of warrants of </w:t>
      </w:r>
      <w:r>
        <w:rPr>
          <w:rFonts w:ascii="Times New Roman;serif" w:hAnsi="Times New Roman;serif"/>
          <w:b w:val="false"/>
          <w:color w:val="000000"/>
          <w:sz w:val="20"/>
        </w:rPr>
        <w:t>$9.5 million</w:t>
      </w:r>
      <w:r>
        <w:rPr>
          <w:rFonts w:ascii="Times New Roman;serif" w:hAnsi="Times New Roman;serif"/>
          <w:b w:val="false"/>
          <w:color w:val="000000"/>
          <w:sz w:val="20"/>
          <w:shd w:fill="FFFFFF" w:val="clear"/>
        </w:rPr>
        <w:t xml:space="preserve">. </w:t>
      </w:r>
    </w:p>
    <w:p>
      <w:pPr>
        <w:pStyle w:val="TextBody"/>
        <w:bidi w:val="0"/>
        <w:spacing w:lineRule="auto" w:line="288" w:before="0" w:after="180"/>
        <w:jc w:val="both"/>
        <w:rPr/>
      </w:pPr>
      <w:r>
        <w:rPr>
          <w:rFonts w:ascii="Times New Roman;serif" w:hAnsi="Times New Roman;serif"/>
          <w:b w:val="false"/>
          <w:color w:val="000000"/>
          <w:sz w:val="20"/>
          <w:shd w:fill="FFFFFF" w:val="clear"/>
        </w:rPr>
        <w:t xml:space="preserve">Net cash used in operating activities was $127.0 million for the year ended December 31, 2024, which consisted of net income of $19.9 million, working capital adjustments of $(51.2) million, and non-cash adjustments of $(95.7) million. The working capital adjustments were driven by originations of loans held for sale of $3.2 billion and purchases of loans held for sale of $2.0 billion, partially offset by proceeds from loan sales, net of repurchases of $4.7 billion and principal payments on loans held for sale of $422.9 million. The non-cash adjustments were primarily driven by gain on sale of loans, net, of $140.4 million, and gains on servicing assets, net, of $32.6 million, partially offset by $38.7 million in stock based compensation, $17.1 million in amortization of internally developed software, $8.6 million related to impairment of internally developed software costs, losses on repurchased loans of $8.2 million, and services exchanged for the issuance of warrants of </w:t>
      </w:r>
      <w:r>
        <w:rPr>
          <w:rFonts w:ascii="Times New Roman;serif" w:hAnsi="Times New Roman;serif"/>
          <w:b w:val="false"/>
          <w:color w:val="000000"/>
          <w:sz w:val="20"/>
        </w:rPr>
        <w:t>$6.6 million</w:t>
      </w:r>
      <w:r>
        <w:rPr>
          <w:rFonts w:ascii="Times New Roman;serif" w:hAnsi="Times New Roman;serif"/>
          <w:b w:val="false"/>
          <w:color w:val="000000"/>
          <w:sz w:val="20"/>
          <w:shd w:fill="FFFFFF" w:val="clear"/>
        </w:rPr>
        <w:t>.</w:t>
      </w:r>
    </w:p>
    <w:p>
      <w:pPr>
        <w:pStyle w:val="TextBody"/>
        <w:bidi w:val="0"/>
        <w:spacing w:lineRule="auto" w:line="288" w:before="0" w:after="18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Net Cash from Investing Activities</w:t>
      </w:r>
    </w:p>
    <w:p>
      <w:pPr>
        <w:pStyle w:val="TextBody"/>
        <w:bidi w:val="0"/>
        <w:spacing w:lineRule="auto" w:line="288" w:before="0" w:after="180"/>
        <w:jc w:val="both"/>
        <w:rPr/>
      </w:pPr>
      <w:r>
        <w:rPr>
          <w:rFonts w:ascii="Times New Roman;serif" w:hAnsi="Times New Roman;serif"/>
          <w:b w:val="false"/>
          <w:color w:val="000000"/>
          <w:sz w:val="20"/>
          <w:shd w:fill="FFFFFF" w:val="clear"/>
        </w:rPr>
        <w:t xml:space="preserve">Net cash used in investing activities was $61.3 million for the year ended December 31, 2025, primarily due to </w:t>
      </w:r>
      <w:r>
        <w:rPr>
          <w:rFonts w:ascii="Times New Roman;serif" w:hAnsi="Times New Roman;serif"/>
          <w:b w:val="false"/>
          <w:color w:val="000000"/>
          <w:sz w:val="20"/>
        </w:rPr>
        <w:t>$102.2 million in purchases of marketable securities</w:t>
      </w:r>
      <w:r>
        <w:rPr>
          <w:color w:val="000000"/>
          <w:shd w:fill="FFFFFF" w:val="clear"/>
        </w:rPr>
        <w:t xml:space="preserve"> </w:t>
      </w:r>
      <w:r>
        <w:rPr>
          <w:rFonts w:ascii="Times New Roman;serif" w:hAnsi="Times New Roman;serif"/>
          <w:b w:val="false"/>
          <w:color w:val="000000"/>
          <w:sz w:val="20"/>
          <w:shd w:fill="FFFFFF" w:val="clear"/>
        </w:rPr>
        <w:t xml:space="preserve">and $5.7 million in purchases of digital assets, </w:t>
      </w:r>
      <w:r>
        <w:rPr>
          <w:rFonts w:ascii="Times New Roman;serif" w:hAnsi="Times New Roman;serif"/>
          <w:b w:val="false"/>
          <w:color w:val="000000"/>
          <w:sz w:val="20"/>
        </w:rPr>
        <w:t xml:space="preserve">partially offset by $63.9 million of principal payments on marketable securities and </w:t>
      </w:r>
      <w:r>
        <w:rPr>
          <w:rFonts w:ascii="Times New Roman;serif" w:hAnsi="Times New Roman;serif"/>
          <w:b w:val="false"/>
          <w:color w:val="000000"/>
          <w:sz w:val="20"/>
          <w:shd w:fill="FFFFFF" w:val="clear"/>
        </w:rPr>
        <w:t>$11.3 million of proceeds from digital asset sales</w:t>
      </w:r>
      <w:r>
        <w:rPr>
          <w:rFonts w:ascii="Times New Roman;serif" w:hAnsi="Times New Roman;serif"/>
          <w:b w:val="false"/>
          <w:color w:val="000000"/>
          <w:sz w:val="20"/>
        </w:rPr>
        <w:t xml:space="preserve">. </w:t>
      </w:r>
      <w:r>
        <w:rPr>
          <w:rFonts w:ascii="Times New Roman;serif" w:hAnsi="Times New Roman;serif"/>
          <w:b w:val="false"/>
          <w:color w:val="000000"/>
          <w:sz w:val="20"/>
          <w:shd w:fill="FFFFFF" w:val="clear"/>
        </w:rPr>
        <w:t xml:space="preserve">Additionally, investing activities included $20.6 million in capitalization of internally developed software costs and </w:t>
      </w:r>
      <w:r>
        <w:rPr>
          <w:rFonts w:ascii="Times New Roman;serif" w:hAnsi="Times New Roman;serif"/>
          <w:b w:val="false"/>
          <w:color w:val="000000"/>
          <w:sz w:val="20"/>
        </w:rPr>
        <w:t>$6.3 million of realized losses on futures.</w:t>
      </w:r>
    </w:p>
    <w:p>
      <w:pPr>
        <w:pStyle w:val="TextBody"/>
        <w:bidi w:val="0"/>
        <w:spacing w:lineRule="auto" w:line="288" w:before="0" w:after="180"/>
        <w:jc w:val="both"/>
        <w:rPr/>
      </w:pPr>
      <w:r>
        <w:rPr>
          <w:rFonts w:ascii="Times New Roman;serif" w:hAnsi="Times New Roman;serif"/>
          <w:b w:val="false"/>
          <w:color w:val="000000"/>
          <w:sz w:val="20"/>
          <w:shd w:fill="FFFFFF" w:val="clear"/>
        </w:rPr>
        <w:t xml:space="preserve">Net cash used in investing activities was $37.4 million for the year ended December 31, 2024, primarily due to </w:t>
      </w:r>
      <w:r>
        <w:rPr>
          <w:rFonts w:ascii="Times New Roman;serif" w:hAnsi="Times New Roman;serif"/>
          <w:b w:val="false"/>
          <w:color w:val="000000"/>
          <w:sz w:val="20"/>
        </w:rPr>
        <w:t>$25.2 million in purchases of marketable securities and</w:t>
      </w:r>
      <w:r>
        <w:rPr>
          <w:color w:val="000000"/>
          <w:shd w:fill="FFFFFF" w:val="clear"/>
        </w:rPr>
        <w:t xml:space="preserve"> </w:t>
      </w:r>
      <w:r>
        <w:rPr>
          <w:rFonts w:ascii="Times New Roman;serif" w:hAnsi="Times New Roman;serif"/>
          <w:b w:val="false"/>
          <w:color w:val="000000"/>
          <w:sz w:val="20"/>
          <w:shd w:fill="FFFFFF" w:val="clear"/>
        </w:rPr>
        <w:t xml:space="preserve">$11.6 million in purchases of digital assets, partially offset by </w:t>
      </w:r>
      <w:r>
        <w:rPr>
          <w:rFonts w:ascii="Times New Roman;serif" w:hAnsi="Times New Roman;serif"/>
          <w:b w:val="false"/>
          <w:color w:val="000000"/>
          <w:sz w:val="20"/>
        </w:rPr>
        <w:t>$15.3 million of principal payments on marketable securities</w:t>
      </w:r>
      <w:r>
        <w:rPr>
          <w:color w:val="000000"/>
          <w:shd w:fill="FFFFFF" w:val="clear"/>
        </w:rPr>
        <w:t xml:space="preserve"> </w:t>
      </w:r>
      <w:r>
        <w:rPr>
          <w:rFonts w:ascii="Times New Roman;serif" w:hAnsi="Times New Roman;serif"/>
          <w:b w:val="false"/>
          <w:color w:val="000000"/>
          <w:sz w:val="20"/>
          <w:shd w:fill="FFFFFF" w:val="clear"/>
        </w:rPr>
        <w:t>and $3.3 million of proceeds from digital asset sales</w:t>
      </w:r>
      <w:r>
        <w:rPr>
          <w:rFonts w:ascii="Times New Roman;serif" w:hAnsi="Times New Roman;serif"/>
          <w:b w:val="false"/>
          <w:color w:val="000000"/>
          <w:sz w:val="20"/>
        </w:rPr>
        <w:t xml:space="preserve">. </w:t>
      </w:r>
      <w:r>
        <w:rPr>
          <w:rFonts w:ascii="Times New Roman;serif" w:hAnsi="Times New Roman;serif"/>
          <w:b w:val="false"/>
          <w:color w:val="000000"/>
          <w:sz w:val="20"/>
          <w:shd w:fill="FFFFFF" w:val="clear"/>
        </w:rPr>
        <w:t>Additionally, investing activities included $16.6 million in capitalization of internally developed software costs</w:t>
      </w:r>
      <w:r>
        <w:rPr>
          <w:rFonts w:ascii="Times New Roman;serif" w:hAnsi="Times New Roman;serif"/>
          <w:b w:val="false"/>
          <w:color w:val="000000"/>
          <w:sz w:val="20"/>
        </w:rPr>
        <w:t xml:space="preserve">. </w:t>
      </w:r>
    </w:p>
    <w:p>
      <w:pPr>
        <w:pStyle w:val="TextBody"/>
        <w:bidi w:val="0"/>
        <w:spacing w:lineRule="auto" w:line="288" w:before="0" w:after="18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Net Cash from Financing Activities</w:t>
      </w:r>
    </w:p>
    <w:p>
      <w:pPr>
        <w:pStyle w:val="TextBody"/>
        <w:bidi w:val="0"/>
        <w:spacing w:lineRule="auto" w:line="288" w:before="0" w:after="180"/>
        <w:jc w:val="both"/>
        <w:rPr/>
      </w:pPr>
      <w:r>
        <w:rPr>
          <w:rFonts w:ascii="Times New Roman;serif" w:hAnsi="Times New Roman;serif"/>
          <w:b w:val="false"/>
          <w:color w:val="000000"/>
          <w:sz w:val="20"/>
          <w:shd w:fill="FFFFFF" w:val="clear"/>
        </w:rPr>
        <w:t xml:space="preserve">Net cash </w:t>
      </w:r>
      <w:r>
        <w:rPr>
          <w:rFonts w:ascii="Times New Roman;serif" w:hAnsi="Times New Roman;serif"/>
          <w:b w:val="false"/>
          <w:color w:val="000000"/>
          <w:sz w:val="20"/>
        </w:rPr>
        <w:t>provided by</w:t>
      </w:r>
      <w:r>
        <w:rPr>
          <w:color w:val="000000"/>
          <w:shd w:fill="FFFFFF" w:val="clear"/>
        </w:rPr>
        <w:t xml:space="preserve"> </w:t>
      </w:r>
      <w:r>
        <w:rPr>
          <w:rFonts w:ascii="Times New Roman;serif" w:hAnsi="Times New Roman;serif"/>
          <w:b w:val="false"/>
          <w:color w:val="000000"/>
          <w:sz w:val="20"/>
          <w:shd w:fill="FFFFFF" w:val="clear"/>
        </w:rPr>
        <w:t xml:space="preserve">financing activities was $918.0 million for the year ended December 31, 2025, during which we received proceeds from debt of </w:t>
      </w:r>
      <w:r>
        <w:rPr>
          <w:rFonts w:ascii="Times New Roman;serif" w:hAnsi="Times New Roman;serif"/>
          <w:b w:val="false"/>
          <w:color w:val="000000"/>
          <w:sz w:val="20"/>
        </w:rPr>
        <w:t>$6.0 billion</w:t>
      </w:r>
      <w:r>
        <w:rPr>
          <w:rFonts w:ascii="Times New Roman;serif" w:hAnsi="Times New Roman;serif"/>
          <w:b w:val="false"/>
          <w:color w:val="000000"/>
          <w:sz w:val="20"/>
          <w:shd w:fill="FFFFFF" w:val="clear"/>
        </w:rPr>
        <w:t xml:space="preserve">, partially offset by </w:t>
      </w:r>
      <w:r>
        <w:rPr>
          <w:rFonts w:ascii="Times New Roman;serif" w:hAnsi="Times New Roman;serif"/>
          <w:b w:val="false"/>
          <w:color w:val="000000"/>
          <w:sz w:val="20"/>
        </w:rPr>
        <w:t>$6.0 billion</w:t>
      </w:r>
      <w:r>
        <w:rPr>
          <w:color w:val="000000"/>
          <w:shd w:fill="FFFFFF" w:val="clear"/>
        </w:rPr>
        <w:t xml:space="preserve"> </w:t>
      </w:r>
      <w:r>
        <w:rPr>
          <w:rFonts w:ascii="Times New Roman;serif" w:hAnsi="Times New Roman;serif"/>
          <w:b w:val="false"/>
          <w:color w:val="000000"/>
          <w:sz w:val="20"/>
          <w:shd w:fill="FFFFFF" w:val="clear"/>
        </w:rPr>
        <w:t xml:space="preserve">related to principal payments on debt. We raised $663.4 million from the issuance of common stock in connection with the </w:t>
      </w:r>
      <w:r>
        <w:rPr>
          <w:rFonts w:ascii="Times New Roman;serif" w:hAnsi="Times New Roman;serif"/>
          <w:b w:val="false"/>
          <w:color w:val="000000"/>
          <w:sz w:val="20"/>
        </w:rPr>
        <w:t>IPO</w:t>
      </w:r>
      <w:r>
        <w:rPr>
          <w:rFonts w:ascii="Times New Roman;serif" w:hAnsi="Times New Roman;serif"/>
          <w:b w:val="false"/>
          <w:color w:val="000000"/>
          <w:sz w:val="20"/>
          <w:shd w:fill="FFFFFF" w:val="clear"/>
        </w:rPr>
        <w:t xml:space="preserve">, net of offering costs. Additionally, financing activities were impacted by $167.2 million in proceeds from servicing activity on behalf of third-party loan owners, and </w:t>
      </w:r>
      <w:r>
        <w:rPr>
          <w:rFonts w:ascii="Times New Roman;serif" w:hAnsi="Times New Roman;serif"/>
          <w:b w:val="false"/>
          <w:color w:val="000000"/>
          <w:sz w:val="20"/>
        </w:rPr>
        <w:t>$12.8 million in proceeds from stock option exercises.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46685"/>
                <wp:effectExtent l="0" t="0" r="0" b="0"/>
                <wp:wrapNone/>
                <wp:docPr id="118" name="Frame1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117</w:t>
                      </w:r>
                    </w:p>
                  </w:txbxContent>
                </v:textbox>
                <w10:wrap type="none"/>
              </v:rect>
            </w:pict>
          </mc:Fallback>
        </mc:AlternateContent>
      </w:r>
    </w:p>
    <w:p>
      <w:pPr>
        <w:pStyle w:val="TextBody"/>
        <w:bidi w:val="0"/>
        <w:spacing w:lineRule="auto" w:line="288" w:before="0" w:after="180"/>
        <w:jc w:val="left"/>
        <w:rPr/>
      </w:pPr>
      <w:hyperlink w:anchor="i8e13d1b6f3764394b0e424082d2ac79f_7">
        <w:r>
          <w:rPr>
            <w:rStyle w:val="InternetLink"/>
            <w:rFonts w:ascii="Times New Roman;serif" w:hAnsi="Times New Roman;serif"/>
            <w:b w:val="false"/>
            <w:color w:val="000080"/>
            <w:sz w:val="20"/>
            <w:u w:val="single"/>
          </w:rPr>
          <w:t>Table of Content</w:t>
        </w:r>
      </w:hyperlink>
      <w:hyperlink w:anchor="i8e13d1b6f3764394b0e424082d2ac79f_7">
        <w:r>
          <w:rPr>
            <w:rStyle w:val="InternetLink"/>
            <w:rFonts w:ascii="Times New Roman;serif" w:hAnsi="Times New Roman;serif"/>
            <w:b w:val="false"/>
            <w:color w:val="000080"/>
            <w:sz w:val="20"/>
            <w:u w:val="single"/>
          </w:rPr>
          <w:t>s</w:t>
        </w:r>
      </w:hyperlink>
    </w:p>
    <w:p>
      <w:pPr>
        <w:pStyle w:val="TextBody"/>
        <w:bidi w:val="0"/>
        <w:spacing w:lineRule="auto" w:line="288" w:before="0" w:after="180"/>
        <w:jc w:val="both"/>
        <w:rPr/>
      </w:pPr>
      <w:r>
        <w:rPr>
          <w:rFonts w:ascii="Times New Roman;serif" w:hAnsi="Times New Roman;serif"/>
          <w:b w:val="false"/>
          <w:color w:val="000000"/>
          <w:sz w:val="20"/>
          <w:shd w:fill="FFFFFF" w:val="clear"/>
        </w:rPr>
        <w:t xml:space="preserve">Net cash </w:t>
      </w:r>
      <w:r>
        <w:rPr>
          <w:rFonts w:ascii="Times New Roman;serif" w:hAnsi="Times New Roman;serif"/>
          <w:b w:val="false"/>
          <w:color w:val="000000"/>
          <w:sz w:val="20"/>
        </w:rPr>
        <w:t>provided by</w:t>
      </w:r>
      <w:r>
        <w:rPr>
          <w:color w:val="000000"/>
          <w:shd w:fill="FFFFFF" w:val="clear"/>
        </w:rPr>
        <w:t xml:space="preserve"> </w:t>
      </w:r>
      <w:r>
        <w:rPr>
          <w:rFonts w:ascii="Times New Roman;serif" w:hAnsi="Times New Roman;serif"/>
          <w:b w:val="false"/>
          <w:color w:val="000000"/>
          <w:sz w:val="20"/>
          <w:shd w:fill="FFFFFF" w:val="clear"/>
        </w:rPr>
        <w:t xml:space="preserve">financing activities was $336.1 million for the year ended December 31, 2024, during which we received proceeds from debt of </w:t>
      </w:r>
      <w:r>
        <w:rPr>
          <w:rFonts w:ascii="Times New Roman;serif" w:hAnsi="Times New Roman;serif"/>
          <w:b w:val="false"/>
          <w:color w:val="000000"/>
          <w:sz w:val="20"/>
        </w:rPr>
        <w:t>$4.6 billion</w:t>
      </w:r>
      <w:r>
        <w:rPr>
          <w:rFonts w:ascii="Times New Roman;serif" w:hAnsi="Times New Roman;serif"/>
          <w:b w:val="false"/>
          <w:color w:val="000000"/>
          <w:sz w:val="20"/>
          <w:shd w:fill="FFFFFF" w:val="clear"/>
        </w:rPr>
        <w:t xml:space="preserve">, partially offset by </w:t>
      </w:r>
      <w:r>
        <w:rPr>
          <w:rFonts w:ascii="Times New Roman;serif" w:hAnsi="Times New Roman;serif"/>
          <w:b w:val="false"/>
          <w:color w:val="000000"/>
          <w:sz w:val="20"/>
        </w:rPr>
        <w:t>$4.4 billion</w:t>
      </w:r>
      <w:r>
        <w:rPr>
          <w:color w:val="000000"/>
          <w:shd w:fill="FFFFFF" w:val="clear"/>
        </w:rPr>
        <w:t xml:space="preserve"> </w:t>
      </w:r>
      <w:r>
        <w:rPr>
          <w:rFonts w:ascii="Times New Roman;serif" w:hAnsi="Times New Roman;serif"/>
          <w:b w:val="false"/>
          <w:color w:val="000000"/>
          <w:sz w:val="20"/>
          <w:shd w:fill="FFFFFF" w:val="clear"/>
        </w:rPr>
        <w:t>related to principal payments on debt. Additionally, financing activities were impacted by $81.9 million in proceeds from servicing activity on behalf of third-party loan owners, and $71.8 million in proceeds from the issuance of preferred stock.</w:t>
      </w:r>
    </w:p>
    <w:p>
      <w:pPr>
        <w:pStyle w:val="TextBody"/>
        <w:bidi w:val="0"/>
        <w:spacing w:lineRule="auto" w:line="288" w:before="0" w:after="18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Other Changes in Financial Position</w:t>
      </w:r>
    </w:p>
    <w:p>
      <w:pPr>
        <w:pStyle w:val="TextBody"/>
        <w:bidi w:val="0"/>
        <w:spacing w:lineRule="auto" w:line="288" w:before="0" w:after="18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Noncontrolling interest in consolidated subsidiaries was $8.4 million at December 31, 2025, an increase of $0.1 million from December 31, 2024, primarily due to an increase in net income attributable to the noncontrolling interest.</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Other Factors Affecting Liquidity and Capital Resources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Operating Lease Obligations</w:t>
      </w:r>
    </w:p>
    <w:p>
      <w:pPr>
        <w:pStyle w:val="TextBody"/>
        <w:bidi w:val="0"/>
        <w:spacing w:lineRule="auto" w:line="288" w:before="0" w:after="180"/>
        <w:jc w:val="both"/>
        <w:rPr/>
      </w:pPr>
      <w:r>
        <w:rPr>
          <w:rFonts w:ascii="Times New Roman;serif" w:hAnsi="Times New Roman;serif"/>
          <w:b w:val="false"/>
          <w:color w:val="000000"/>
          <w:sz w:val="20"/>
        </w:rPr>
        <w:t xml:space="preserve">Our operating lease obligations consist of our lease of real property from third parties under noncancellable operating leases, including the lease of its current office spaces. Operating lease expense for our office space was </w:t>
      </w:r>
      <w:r>
        <w:rPr>
          <w:rFonts w:ascii="Times New Roman;serif" w:hAnsi="Times New Roman;serif"/>
          <w:b w:val="false"/>
          <w:color w:val="000000"/>
          <w:sz w:val="20"/>
          <w:shd w:fill="FFFFFF" w:val="clear"/>
        </w:rPr>
        <w:t>$2.7 million</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color w:val="000000"/>
          <w:sz w:val="20"/>
          <w:shd w:fill="FFFFFF" w:val="clear"/>
        </w:rPr>
        <w:t>$2.8 million</w:t>
      </w:r>
      <w:r>
        <w:rPr>
          <w:color w:val="000000"/>
        </w:rPr>
        <w:t xml:space="preserve"> </w:t>
      </w:r>
      <w:r>
        <w:rPr>
          <w:rFonts w:ascii="Times New Roman;serif" w:hAnsi="Times New Roman;serif"/>
          <w:b w:val="false"/>
          <w:color w:val="000000"/>
          <w:sz w:val="20"/>
        </w:rPr>
        <w:t>for the years ended December 31, 2025 and 2024, respectively. Our office leases are scheduled to expire between 2026 and 2031.</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Available Liquidity and Capital Resources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of December 31, 2025, our cash, cash equivalents, and restricted cash was $1.3 billion, which included $364.9 million of cash held for the benefit of third parties. As of December 31, 2024, our cash, cash equivalents, and restricted cash was $347.4 million, which included $198.8 million of cash held for the benefit of third parties. The restricted cash held by us primarily relates to cash held by us on behalf of third-party loan sellers or buyers that represent collection of principal and interest from loan borrowers that we remit to those third parties as servicer of those loans.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Non-GAAP Financial Measures</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In order to better help understand our financial performance, we use several key performance metrics that should be viewed independently of GAAP items, as these metrics are not intended to be combined with those items. Our determination and presentation of these metrics may differ from that of other companies. The presentation of these metrics is meant to be considered in addition to, not as a substitute for or in isolation from, our financial measures prepared in accordance with GAAP. </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Adjusted Net Revenue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Adjusted Net Revenue is a non-GAAP financial measure used by our management to evaluate operating performance. Accordingly, we believe this measure provides useful information to investors and others in understanding and evaluating our operating results in the same manner as our management and board of directors. In addition, Adjusted Net Revenue provides a useful measure for period-to-period comparisons of our business, as it removes the effect of a non-cash, non-realized adjustment that is included in net revenue. Adjusted Net Revenue is defined as net revenue excluding the change in fair value of MSR associated with changes in our estimates that management has determined are not reflective of our operating performance.</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Adjusted EBITDA and Adjusted EBITDA Margin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Adjusted EBITDA and Adjusted EBITDA Margin are non-GAAP financial measures used by our management to evaluate operating performance, generate future operating plans, and make strategic decisions, including those relating to operating expenses and the allocation of internal resources. Accordingly, we believe these measures provide useful information to investors and others in understanding and evaluating our operating results in the same manner as our management and board of directors. In addition, these measures provide useful information for period-to-period comparisons of our business, as it removes the effect of certain non-cash items, variable charges, non-recurring items, unrealized gains or losses or other similar non-cash items that are included in net income or expenses associated with the early stages of the business that are expected to ultimately terminate, pursuant to the terms of certain existing contractual arrangements or expected to continue at levels materially below the historical level, or that otherwise do not contribute directly to management’s evaluation of its operating results. Adjusted EBITDA is defined as net income excluding interest expense incurred in connection with our debt obligations other than debt associated with our funding of loans held for sale, income taxes, amortization and depreciation expense, stock-based compensation expense, non-cash changes in certain financial instruments, and other items that management has determined are not reflective of our operating performance. Adjusted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46685"/>
                <wp:effectExtent l="0" t="0" r="0" b="0"/>
                <wp:wrapNone/>
                <wp:docPr id="119" name="Frame1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118</w:t>
                      </w:r>
                    </w:p>
                  </w:txbxContent>
                </v:textbox>
                <w10:wrap type="none"/>
              </v:rect>
            </w:pict>
          </mc:Fallback>
        </mc:AlternateContent>
      </w:r>
    </w:p>
    <w:p>
      <w:pPr>
        <w:pStyle w:val="TextBody"/>
        <w:bidi w:val="0"/>
        <w:spacing w:lineRule="auto" w:line="288" w:before="0" w:after="180"/>
        <w:jc w:val="left"/>
        <w:rPr/>
      </w:pPr>
      <w:hyperlink w:anchor="i8e13d1b6f3764394b0e424082d2ac79f_7">
        <w:r>
          <w:rPr>
            <w:rStyle w:val="InternetLink"/>
            <w:rFonts w:ascii="Times New Roman;serif" w:hAnsi="Times New Roman;serif"/>
            <w:b w:val="false"/>
            <w:color w:val="000080"/>
            <w:sz w:val="20"/>
            <w:u w:val="single"/>
          </w:rPr>
          <w:t>Table of Content</w:t>
        </w:r>
      </w:hyperlink>
      <w:hyperlink w:anchor="i8e13d1b6f3764394b0e424082d2ac79f_7">
        <w:r>
          <w:rPr>
            <w:rStyle w:val="InternetLink"/>
            <w:rFonts w:ascii="Times New Roman;serif" w:hAnsi="Times New Roman;serif"/>
            <w:b w:val="false"/>
            <w:color w:val="000080"/>
            <w:sz w:val="20"/>
            <w:u w:val="single"/>
          </w:rPr>
          <w: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EBITDA Margin is calculated as Adjusted EBITDA divided by total net revenue. The most directly comparable GAAP measure is net income margin (calculated as net income divided by total net revenue).</w: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a reconciliation of net revenue to adjusted net revenue, net income to adjusted EBITDA, and net income margin to adjusted EBITDA margin for the years ended December 31, 2025 and 2024:</w:t>
      </w:r>
    </w:p>
    <w:tbl>
      <w:tblPr>
        <w:tblW w:w="8482" w:type="dxa"/>
        <w:jc w:val="left"/>
        <w:tblInd w:w="0" w:type="dxa"/>
        <w:tblLayout w:type="fixed"/>
        <w:tblCellMar>
          <w:top w:w="28" w:type="dxa"/>
          <w:left w:w="28" w:type="dxa"/>
          <w:bottom w:w="28" w:type="dxa"/>
          <w:right w:w="28" w:type="dxa"/>
        </w:tblCellMar>
      </w:tblPr>
      <w:tblGrid>
        <w:gridCol w:w="1691"/>
        <w:gridCol w:w="1485"/>
        <w:gridCol w:w="1489"/>
        <w:gridCol w:w="109"/>
        <w:gridCol w:w="109"/>
        <w:gridCol w:w="161"/>
        <w:gridCol w:w="161"/>
        <w:gridCol w:w="289"/>
        <w:gridCol w:w="1087"/>
        <w:gridCol w:w="356"/>
        <w:gridCol w:w="109"/>
        <w:gridCol w:w="109"/>
        <w:gridCol w:w="109"/>
        <w:gridCol w:w="196"/>
        <w:gridCol w:w="736"/>
        <w:gridCol w:w="286"/>
      </w:tblGrid>
      <w:tr>
        <w:trPr/>
        <w:tc>
          <w:tcPr>
            <w:tcW w:w="1691" w:type="dxa"/>
            <w:tcBorders/>
            <w:vAlign w:val="center"/>
          </w:tcPr>
          <w:p>
            <w:pPr>
              <w:pStyle w:val="TableContents"/>
              <w:bidi w:val="0"/>
              <w:spacing w:before="0" w:after="283"/>
              <w:jc w:val="left"/>
              <w:rPr>
                <w:sz w:val="4"/>
                <w:szCs w:val="4"/>
              </w:rPr>
            </w:pPr>
            <w:r>
              <w:rPr>
                <w:sz w:val="4"/>
                <w:szCs w:val="4"/>
              </w:rPr>
            </w:r>
          </w:p>
        </w:tc>
        <w:tc>
          <w:tcPr>
            <w:tcW w:w="1485" w:type="dxa"/>
            <w:tcBorders/>
            <w:vAlign w:val="center"/>
          </w:tcPr>
          <w:p>
            <w:pPr>
              <w:pStyle w:val="TableContents"/>
              <w:bidi w:val="0"/>
              <w:spacing w:before="0" w:after="283"/>
              <w:jc w:val="left"/>
              <w:rPr>
                <w:sz w:val="4"/>
                <w:szCs w:val="4"/>
              </w:rPr>
            </w:pPr>
            <w:r>
              <w:rPr>
                <w:sz w:val="4"/>
                <w:szCs w:val="4"/>
              </w:rPr>
            </w:r>
          </w:p>
        </w:tc>
        <w:tc>
          <w:tcPr>
            <w:tcW w:w="14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4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4"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Years Ended December 31,</w:t>
            </w:r>
          </w:p>
        </w:tc>
        <w:tc>
          <w:tcPr>
            <w:tcW w:w="1545" w:type="dxa"/>
            <w:gridSpan w:val="6"/>
            <w:tcBorders/>
          </w:tcPr>
          <w:p>
            <w:pPr>
              <w:pStyle w:val="TableContents"/>
              <w:bidi w:val="0"/>
              <w:spacing w:before="0" w:after="283"/>
              <w:jc w:val="left"/>
              <w:rPr>
                <w:sz w:val="4"/>
                <w:szCs w:val="4"/>
              </w:rPr>
            </w:pPr>
            <w:r>
              <w:rPr>
                <w:sz w:val="4"/>
                <w:szCs w:val="4"/>
              </w:rPr>
            </w:r>
          </w:p>
        </w:tc>
      </w:tr>
      <w:tr>
        <w:trPr/>
        <w:tc>
          <w:tcPr>
            <w:tcW w:w="46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7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net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506,865 </w:t>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340,885 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Plus: Valuation changes in fair value of MSRs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7,939 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(1,703)</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net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514,804 </w:t>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339,182 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73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134,281 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19,915 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Plus: Valuation changes in fair value of MSRs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7,939 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(1,703)</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Plus: Change in fair value of digital assets and related investments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12,417 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(10,674)</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Plus: Impairment of capitalized software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8,591 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Plus: Impairment of digital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5,859 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Plus: Other asset impairment charge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4,970 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Plus: Services exchanged for issuance of warrants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9,499 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6,584 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Plus: Registration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6,312 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Plus: Restructuring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3,988 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2,498 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Plus: Stock-based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62,922 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38,726 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7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Plus: Amortization of internally developed software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16,254 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17,113 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Plus: Non-funding 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18,151 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7,387 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Plus: Income tax provision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(20,606)</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2,177 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EBITDA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251,157 </w:t>
            </w:r>
          </w:p>
        </w:tc>
        <w:tc>
          <w:tcPr>
            <w:tcW w:w="3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101,443 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margin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37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26.5 </w:t>
            </w:r>
          </w:p>
        </w:tc>
        <w:tc>
          <w:tcPr>
            <w:tcW w:w="3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5.8 </w:t>
            </w:r>
          </w:p>
        </w:tc>
        <w:tc>
          <w:tcPr>
            <w:tcW w:w="28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EBITDA margin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48.8 </w:t>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29.9 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Basis of Presentation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accompanying Consolidated Financial Statements have been prepared in accordance with GAAP and include the accounts of our company and our subsidiaries. Our subsidiaries are entities in which our company holds, directly or indirectly, more than 50% of the voting rights or where it exercises control. All intercompany accounts and transactions have been eliminated.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detailed in Note 1 of the Consolidated Financial Statements, the Recombination that was effective on August 29, 2025 recombined FTI and FMH through a series of transactions and FMH became a wholly-owned subsidiary of FTI. The Recombination was a reorganization of entities under common control as FTI and FMH were owned, either directly or indirectly, by the Controlling Party before and after the Recombination. As a result, the Recombination is accounted for in a manner similar to a pooling of interests with the assets and liabilities of the parties to the Recombination carried over at their historical amounts. Therefore, the Consolidated Financial Statements have been retrospectively recast to reflect the results as if FTI and FMH were a single consolidated entity as of the earliest period presented.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preparation of the Consolidated Financial Statements requires us to make estimates and assumptions that affect the reported amounts of assets, liabilities, revenue, costs, and expenses and related disclosures. We base our estimates on historical experience and on various other assumptions that we believe to be reasonable under the circumstances. Actual results could differ significantly from our estimates. To the extent that there are differences between our estimates and actual results, our future financial statement presentation, financial condition, operating results, and cash flows will be affected.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believe that the accounting policies described below involve a significant degree of judgment and complexity. Accordingly, we believe these are the most critical to aid in fully understanding and evaluating our consolidated financial condition and results of operations. For more information, see Note 2 to our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46685"/>
                <wp:effectExtent l="0" t="0" r="0" b="0"/>
                <wp:wrapNone/>
                <wp:docPr id="120" name="Frame1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119</w:t>
                      </w:r>
                    </w:p>
                  </w:txbxContent>
                </v:textbox>
                <w10:wrap type="none"/>
              </v:rect>
            </w:pict>
          </mc:Fallback>
        </mc:AlternateContent>
      </w:r>
    </w:p>
    <w:p>
      <w:pPr>
        <w:pStyle w:val="TextBody"/>
        <w:bidi w:val="0"/>
        <w:spacing w:lineRule="auto" w:line="288" w:before="0" w:after="180"/>
        <w:jc w:val="left"/>
        <w:rPr/>
      </w:pPr>
      <w:hyperlink w:anchor="i8e13d1b6f3764394b0e424082d2ac79f_7">
        <w:r>
          <w:rPr>
            <w:rStyle w:val="InternetLink"/>
            <w:rFonts w:ascii="Times New Roman;serif" w:hAnsi="Times New Roman;serif"/>
            <w:b w:val="false"/>
            <w:color w:val="000080"/>
            <w:sz w:val="20"/>
            <w:u w:val="single"/>
          </w:rPr>
          <w:t>Table of Content</w:t>
        </w:r>
      </w:hyperlink>
      <w:hyperlink w:anchor="i8e13d1b6f3764394b0e424082d2ac79f_7">
        <w:r>
          <w:rPr>
            <w:rStyle w:val="InternetLink"/>
            <w:rFonts w:ascii="Times New Roman;serif" w:hAnsi="Times New Roman;serif"/>
            <w:b w:val="false"/>
            <w:color w:val="000080"/>
            <w:sz w:val="20"/>
            <w:u w:val="single"/>
          </w:rPr>
          <w:t>s</w:t>
        </w:r>
      </w:hyperlink>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Valuation of Loans, Securities, and Servicing Assets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Details of our processes for determining fair value are set out in Note 2 of our Consolidated Financial Statements. Estimating fair value requires the application of significant judgment. The type and level of judgment required is largely dependent on the amount of observable market information available to us. Assets and liabilities valued using internally developed valuation models and other valuation techniques that use significant unobservable inputs are classified at level 3, the lowest level in the fair value hierarchy defined under GAAP, and judgments used to estimate fair value of those assets and liabilities are more significant than those required when estimating the fair value of assets and liabilities classified within levels 1 and 2.</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arriving at an estimate of fair value for an asset or liability within level 3, we must first determine the appropriate valuation model or other valuation technique to use. Second, the lack of observability of certain significant inputs requires us to assess relevant empirical data in deriving valuation inputs including, for example, prepayment speeds, default rates, loss severities, discount rates, and valuations of comparable assets and liabilities. The methods used to estimate fair value may not result in an amount that is indicative of net realizable value or reflective of future fair values. Changes in market conditions, as well as changes in the assumptions or methodology used to determine fair value, could result in a significant increase or decrease in fair value.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Refer to Note 2 of our Consolidated Financial Statements for a further discussion of the valuation of level 3 instruments, including unobservable inputs used, and Note 12 of our Consolidated Financial Statements for quantification of the significant inputs used to value level 3 assets and liabilities, as well as sensitivities of their effects on fair value.</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Estimates of Our Equity Value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Prior to the IPO, our equity did not historically trade on active markets and the value of our equity relied upon significant judgment and estimates based on unobservable inputs. We historically estimated the fair value of our equity, with assistance from independent third-party valuation consultants, as determined in accordance with the guidelines outlined by the American Institute of Certified Public Accountants. The valuation of our equity involved estimates based on (a) the expectation of future cash flows that we will generate, discounted to the present using a rate based on rates of return available from alternative investments of similar type, quality, and risk and (b) application of a valuation multiple derived from a comparison of us to publicly traded comparable entities’ valuation (as adjusted for observable differences in growth, profitability, risk, and operations).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Equity-Based Compensation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grant equity-based compensation awards that vest contingent upon time-based service and/ or performance conditions based upon a qualifying sale of our equity, achieving certain contractual thresholds, or market conditions tied to our share price. We generally expense the grant-date fair value of these equity-based compensation awards over the required service period, but not before we deem applicable performance conditions probable. As awards with a market condition have the market condition incorporated into the fair value, we recognize the full compensation cost (based on grant-date fair value) over the service period, even if the market condition is ultimately not achieved.</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Income Taxes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are subject to income taxes in the United States. The evaluation of our uncertain tax positions involves significant judgment in the interpretation and application of GAAP and complex laws, including the realizable portions of our net operating loss deductions and research and development tax credits. Although we believe our reserves are reasonable, no assurance can be given that the final outcome of these uncertainties will not be different from that which is reflected in our reserves. Reserves are adjusted considering changing facts and circumstances, such as the closing of a tax examination. Resolution of these uncertainties in a manner inconsistent with our expectations could have a material impact on our financial condition and operating results.</w:t>
      </w:r>
    </w:p>
    <w:p>
      <w:pPr>
        <w:pStyle w:val="TextBody"/>
        <w:bidi w:val="0"/>
        <w:spacing w:lineRule="auto" w:line="288" w:before="0" w:after="180"/>
        <w:jc w:val="both"/>
        <w:rPr/>
      </w:pPr>
      <w:r>
        <w:rPr>
          <w:rFonts w:ascii="Times New Roman;serif" w:hAnsi="Times New Roman;serif"/>
          <w:b/>
          <w:i/>
          <w:color w:val="000000"/>
          <w:sz w:val="20"/>
        </w:rPr>
        <w:t xml:space="preserve">Consolidation of </w:t>
      </w:r>
      <w:r>
        <w:rPr>
          <w:rFonts w:ascii="Times New Roman;serif" w:hAnsi="Times New Roman;serif"/>
          <w:b/>
          <w:color w:val="000000"/>
          <w:sz w:val="20"/>
        </w:rPr>
        <w:t>VIE</w:t>
      </w:r>
      <w:r>
        <w:rPr>
          <w:rFonts w:ascii="Times New Roman;serif" w:hAnsi="Times New Roman;serif"/>
          <w:b/>
          <w:i/>
          <w:color w:val="000000"/>
          <w:sz w:val="20"/>
        </w:rPr>
        <w: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determination of whether or not to consolidate a VIE under GAAP requires a significant amount of judgment concerning the degree of control over an entity by its holders of variable interests. To make these judgments, we conduct an analysis, on a case-by-case basis, of whether we are the primary beneficiary, the party who has the power to direct the activities of a VIE that most significantly impact its economic performance and who has the obligation to absorb losses or the right to receive benefits from the VIE that could potentially be significant to the VIE, and are therefore required to consolidate the entity. Management continually reconsiders whether we should consolidate a VIE. Upon the occurrence of certain events, management will reconsider its conclusion regarding the status of an entity as a VIE.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46685"/>
                <wp:effectExtent l="0" t="0" r="0" b="0"/>
                <wp:wrapNone/>
                <wp:docPr id="121" name="Frame1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120</w:t>
                      </w:r>
                    </w:p>
                  </w:txbxContent>
                </v:textbox>
                <w10:wrap type="none"/>
              </v:rect>
            </w:pict>
          </mc:Fallback>
        </mc:AlternateContent>
      </w:r>
    </w:p>
    <w:p>
      <w:pPr>
        <w:pStyle w:val="TextBody"/>
        <w:bidi w:val="0"/>
        <w:spacing w:lineRule="auto" w:line="288" w:before="0" w:after="180"/>
        <w:jc w:val="left"/>
        <w:rPr/>
      </w:pPr>
      <w:hyperlink w:anchor="i8e13d1b6f3764394b0e424082d2ac79f_7">
        <w:r>
          <w:rPr>
            <w:rStyle w:val="InternetLink"/>
            <w:rFonts w:ascii="Times New Roman;serif" w:hAnsi="Times New Roman;serif"/>
            <w:b w:val="false"/>
            <w:color w:val="000080"/>
            <w:sz w:val="20"/>
            <w:u w:val="single"/>
          </w:rPr>
          <w:t>Table of Content</w:t>
        </w:r>
      </w:hyperlink>
      <w:hyperlink w:anchor="i8e13d1b6f3764394b0e424082d2ac79f_7">
        <w:r>
          <w:rPr>
            <w:rStyle w:val="InternetLink"/>
            <w:rFonts w:ascii="Times New Roman;serif" w:hAnsi="Times New Roman;serif"/>
            <w:b w:val="false"/>
            <w:color w:val="000080"/>
            <w:sz w:val="20"/>
            <w:u w:val="single"/>
          </w:rPr>
          <w:t>s</w:t>
        </w:r>
      </w:hyperlink>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Emerging Growth Company Status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an “Emerging Growth Company,” the JOBS Act allows us to delay adoption of new or revised accounting pronouncements applicable to public companies until such pronouncements are made applicable to private companies. We have elected to use this extended transition period under the JOBS Act. As a result, our Consolidated Financial Statements may not be comparable to the financial statements of issuers who are required to comply with the effective dates for new or revised accounting standards that are applicable to public companies, which may make our Class A common stock less attractive to investors.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See Note 2 to our Consolidated Financial Statements for recently adopted accounting pronouncements and recently issued accounting pronouncements not yet adopted as of the dates of the statement of financial position.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ITEM 7A. QUANTITATIVE AND QUALITATIVE DISCLOSURES ABOUT MARKET RISK</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Market risk is the exposure to loss resulting from changes in interest rates, credit spreads, foreign currency exchange rates, commodity prices, equity prices, and other market-based risks. The primary market risks that we are exposed to are interest rate risk, prepayment speed risk, credit spread risk and credit risk through loans and securities held on our Consolidated Balance Sheets, access to the securitization markets, investor demand for loans facilitated through our platform, and availability of funding under our current credit facilities. These risks are highly sensitive to many factors, including governmental monetary and tax policies, domestic and international economic and political considerations and other factors beyond our control. All of our market risk sensitive assets, liabilities and derivative positions are for non-trading purposes only. Our inability or failure to manage market risks could harm our business, financial condition, or results of operations. For a further understanding of how market risk may affect our financial position or results of operations, please refer to “Critical Accounting Policies and Estimates.”</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Credit Risk</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Credit risk refers to the risk of loss arising from individual customer default due to inability or unwillingness to meet their financial obligations during the period that we own the loans. The performance of certain financial instruments, including loans, on our Consolidated Balance Sheets are dependent on the credit performance of loans facilitated by us. To manage this risk, we use software technology to actively monitor customer payment performance and upon delinquency or signs of a delinquency, troubleshoot payment issues and engage in customer communication to encourage timely payments. We actively monitor the payments made by borrowers on our loans, and via third-party data we also monitor the payment and delinquency activity of loans in the first-lien position on the properties for which our loans are in the second- or third-lien position. We also monitor the balances of the loans in the first-lien position to determine the amount of equity available in the home, which impacts our credit risk management strategy. Many of our origination partners have their loans serviced by us, and therefore these loans benefit from the same credit risk monitoring technology and procedures.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fair values of these loans are estimated based on a discounted cash flow model which involves the use of significant unobservable inputs and assumptions. These instruments are sensitive to changes in credit risk.</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Interest Rate Risk</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Changes in interest rates, including changes in expected interest rates, affect (a) our net interest income, which is the difference between the interest income earned on assets and the interest expense incurred in connection with our debt obligations, and (b) the price of our investments and loans as impacted by yields required by the marketplace participants on interest rate instruments. Interest rates are highly sensitive to many factors, including fiscal and monetary policies and domestic and international economic and political considerations, as well as other factors beyond our control.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interest rates charged on the loans that we and our partners originate are determined based upon a margin above a market benchmark at the time of onboarding. Increases in the market benchmark would result in increases in the interest rates on new loans. Increased interest rates may adversely impact the spending levels of our individual customers and their ability and willingness to borrow money. Higher interest rates lead to higher payment obligations, which may reduce the ability of individual customers to remain current on their obligations and, therefore, lead to increased delinquencies, defaults, customer bankruptcies and charge-offs, and decreasing recoveries, all of which could have a material adverse effect on our business.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are subject to margin calls on our repurchase agreements, and changes in interest rates may impact our cost of borrowing. Future funding activities under the revolving credit facilities may increase our exposure to interest rate risk, 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46685"/>
                <wp:effectExtent l="0" t="0" r="0" b="0"/>
                <wp:wrapNone/>
                <wp:docPr id="122" name="Frame1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121</w:t>
                      </w:r>
                    </w:p>
                  </w:txbxContent>
                </v:textbox>
                <w10:wrap type="none"/>
              </v:rect>
            </w:pict>
          </mc:Fallback>
        </mc:AlternateContent>
      </w:r>
    </w:p>
    <w:p>
      <w:pPr>
        <w:pStyle w:val="TextBody"/>
        <w:bidi w:val="0"/>
        <w:spacing w:lineRule="auto" w:line="288" w:before="0" w:after="180"/>
        <w:jc w:val="left"/>
        <w:rPr/>
      </w:pPr>
      <w:hyperlink w:anchor="i8e13d1b6f3764394b0e424082d2ac79f_7">
        <w:r>
          <w:rPr>
            <w:rStyle w:val="InternetLink"/>
            <w:rFonts w:ascii="Times New Roman;serif" w:hAnsi="Times New Roman;serif"/>
            <w:b w:val="false"/>
            <w:color w:val="000080"/>
            <w:sz w:val="20"/>
            <w:u w:val="single"/>
          </w:rPr>
          <w:t>Table of Content</w:t>
        </w:r>
      </w:hyperlink>
      <w:hyperlink w:anchor="i8e13d1b6f3764394b0e424082d2ac79f_7">
        <w:r>
          <w:rPr>
            <w:rStyle w:val="InternetLink"/>
            <w:rFonts w:ascii="Times New Roman;serif" w:hAnsi="Times New Roman;serif"/>
            <w:b w:val="false"/>
            <w:color w:val="000080"/>
            <w:sz w:val="20"/>
            <w:u w:val="single"/>
          </w:rPr>
          <w: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interest rates payable on such funding are tied to short-term market rates. Furthermore, we may, from time to time, be a party to derivative agreements or financing arrangements that are subject to margin calls based on the value of such instruments. We seek to maintain adequate cash reserves and other sources of available liquidity to meet any margin calls resulting from decreases in value related to, in management's opinion, a reasonably possible change in interest rates.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investment portfolio consists primarily of cash and cash equivalents, including money market funds which are held for working capital and liquidity purposes and are predominantly short-term in nature. These instruments bear interest at prevailing market rates, are highly liquid and, as such, our exposure to interest rate changes on these instruments is limited and would not result in a material impact on our consolidated financial statements.</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Crypto Risk</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Volatility in digital assets could significantly impact our business. Negative market sentiment towards digital assets could decrease demand for our products and services, including the utilization of Figure Exchange, and impact our revenue. Changes in regulations regarding crypto and digital assets could cause us to modify our business practices or cease offering certain services leading to increased costs or loss of revenue. Security breaches or technological vulnerabilities in the underlying blockchain networks could erode customer trust and negatively impact our reputation and business operations in the event of potential loss of digital assets due to hacking, theft or loss of private keys. Fluctuations in the liquidity of digital assets could affect our ability to execute transactions and manage our holdings effectively, potentially leading to financial losses.</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Liquidity Risk</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may not be able to timely trade our servicing assets, retained interests in securitized loans, and certain digital assets restricted from sale as they are not generally traded on public, liquid markets and may be subject to legal and other restrictions on resale and/ or otherwise less liquid than publicly-traded securities. The illiquidity of our assets may make it difficult for us to sell such assets if the need or desire arises, including in response to changes in economic and other conditions.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46685"/>
                <wp:effectExtent l="0" t="0" r="0" b="0"/>
                <wp:wrapNone/>
                <wp:docPr id="123" name="Frame1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122</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ITEM 8. FINANCIAL STATEMENTS AND SUPPLEMENTARY DATA</w:t>
      </w:r>
    </w:p>
    <w:tbl>
      <w:tblPr>
        <w:tblW w:w="6161" w:type="dxa"/>
        <w:jc w:val="left"/>
        <w:tblInd w:w="0" w:type="dxa"/>
        <w:tblLayout w:type="fixed"/>
        <w:tblCellMar>
          <w:top w:w="28" w:type="dxa"/>
          <w:left w:w="28" w:type="dxa"/>
          <w:bottom w:w="28" w:type="dxa"/>
          <w:right w:w="28" w:type="dxa"/>
        </w:tblCellMar>
      </w:tblPr>
      <w:tblGrid>
        <w:gridCol w:w="1787"/>
        <w:gridCol w:w="1572"/>
        <w:gridCol w:w="1576"/>
        <w:gridCol w:w="109"/>
        <w:gridCol w:w="109"/>
        <w:gridCol w:w="109"/>
        <w:gridCol w:w="263"/>
        <w:gridCol w:w="263"/>
        <w:gridCol w:w="373"/>
      </w:tblGrid>
      <w:tr>
        <w:trPr/>
        <w:tc>
          <w:tcPr>
            <w:tcW w:w="1787" w:type="dxa"/>
            <w:tcBorders/>
            <w:vAlign w:val="center"/>
          </w:tcPr>
          <w:p>
            <w:pPr>
              <w:pStyle w:val="TableContents"/>
              <w:bidi w:val="0"/>
              <w:spacing w:before="0" w:after="283"/>
              <w:jc w:val="left"/>
              <w:rPr>
                <w:sz w:val="4"/>
                <w:szCs w:val="4"/>
              </w:rPr>
            </w:pPr>
            <w:r>
              <w:rPr>
                <w:sz w:val="4"/>
                <w:szCs w:val="4"/>
              </w:rPr>
            </w:r>
          </w:p>
        </w:tc>
        <w:tc>
          <w:tcPr>
            <w:tcW w:w="1572"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r>
      <w:tr>
        <w:trPr/>
        <w:tc>
          <w:tcPr>
            <w:tcW w:w="4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Index to Consolidated Financial Statements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Page No.</w:t>
            </w:r>
          </w:p>
        </w:tc>
      </w:tr>
      <w:tr>
        <w:trPr/>
        <w:tc>
          <w:tcPr>
            <w:tcW w:w="49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i8e13d1b6f3764394b0e424082d2ac79f_391">
              <w:r>
                <w:rPr>
                  <w:rStyle w:val="InternetLink"/>
                  <w:rFonts w:ascii="Times New Roman;serif" w:hAnsi="Times New Roman;serif"/>
                  <w:b w:val="false"/>
                  <w:color w:val="0000FF"/>
                  <w:sz w:val="20"/>
                  <w:u w:val="single"/>
                </w:rPr>
                <w:t>Reports of Independent Registered Public Accounting Firm</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hyperlink w:anchor="i8e13d1b6f3764394b0e424082d2ac79f_391">
              <w:r>
                <w:rPr>
                  <w:rStyle w:val="InternetLink"/>
                  <w:rFonts w:ascii="Times New Roman;serif" w:hAnsi="Times New Roman;serif"/>
                  <w:b w:val="false"/>
                  <w:color w:val="0000FF"/>
                  <w:sz w:val="20"/>
                  <w:u w:val="single"/>
                </w:rPr>
                <w:t>124</w:t>
              </w:r>
            </w:hyperlink>
          </w:p>
        </w:tc>
      </w:tr>
      <w:tr>
        <w:trPr/>
        <w:tc>
          <w:tcPr>
            <w:tcW w:w="49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13d1b6f3764394b0e424082d2ac79f_154">
              <w:r>
                <w:rPr>
                  <w:rStyle w:val="InternetLink"/>
                  <w:rFonts w:ascii="Times New Roman;serif" w:hAnsi="Times New Roman;serif"/>
                  <w:b w:val="false"/>
                  <w:color w:val="0000FF"/>
                  <w:sz w:val="20"/>
                  <w:u w:val="single"/>
                </w:rPr>
                <w:t>Consolidated Balance Sheets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e13d1b6f3764394b0e424082d2ac79f_154">
              <w:r>
                <w:rPr>
                  <w:rStyle w:val="InternetLink"/>
                  <w:rFonts w:ascii="Times New Roman;serif" w:hAnsi="Times New Roman;serif"/>
                  <w:b w:val="false"/>
                  <w:color w:val="0000FF"/>
                  <w:sz w:val="20"/>
                  <w:u w:val="single"/>
                </w:rPr>
                <w:t>125</w:t>
              </w:r>
            </w:hyperlink>
          </w:p>
        </w:tc>
      </w:tr>
      <w:tr>
        <w:trPr/>
        <w:tc>
          <w:tcPr>
            <w:tcW w:w="49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13d1b6f3764394b0e424082d2ac79f_157">
              <w:r>
                <w:rPr>
                  <w:rStyle w:val="InternetLink"/>
                  <w:rFonts w:ascii="Times New Roman;serif" w:hAnsi="Times New Roman;serif"/>
                  <w:b w:val="false"/>
                  <w:color w:val="0000FF"/>
                  <w:sz w:val="20"/>
                  <w:u w:val="single"/>
                </w:rPr>
                <w:t>Consolidated Statements of Operations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e13d1b6f3764394b0e424082d2ac79f_157">
              <w:r>
                <w:rPr>
                  <w:rStyle w:val="InternetLink"/>
                  <w:rFonts w:ascii="Times New Roman;serif" w:hAnsi="Times New Roman;serif"/>
                  <w:b w:val="false"/>
                  <w:color w:val="0000FF"/>
                  <w:sz w:val="20"/>
                  <w:u w:val="single"/>
                </w:rPr>
                <w:t>126</w:t>
              </w:r>
            </w:hyperlink>
          </w:p>
        </w:tc>
      </w:tr>
      <w:tr>
        <w:trPr/>
        <w:tc>
          <w:tcPr>
            <w:tcW w:w="49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13d1b6f3764394b0e424082d2ac79f_160">
              <w:r>
                <w:rPr>
                  <w:rStyle w:val="InternetLink"/>
                  <w:rFonts w:ascii="Times New Roman;serif" w:hAnsi="Times New Roman;serif"/>
                  <w:b w:val="false"/>
                  <w:color w:val="0000FF"/>
                  <w:sz w:val="20"/>
                  <w:u w:val="single"/>
                </w:rPr>
                <w:t>Consolidated Statements of Stockholders’ Equity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e13d1b6f3764394b0e424082d2ac79f_160">
              <w:r>
                <w:rPr>
                  <w:rStyle w:val="InternetLink"/>
                  <w:rFonts w:ascii="Times New Roman;serif" w:hAnsi="Times New Roman;serif"/>
                  <w:b w:val="false"/>
                  <w:color w:val="0000FF"/>
                  <w:sz w:val="20"/>
                  <w:u w:val="single"/>
                </w:rPr>
                <w:t>127</w:t>
              </w:r>
            </w:hyperlink>
          </w:p>
        </w:tc>
      </w:tr>
      <w:tr>
        <w:trPr/>
        <w:tc>
          <w:tcPr>
            <w:tcW w:w="49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13d1b6f3764394b0e424082d2ac79f_163">
              <w:r>
                <w:rPr>
                  <w:rStyle w:val="InternetLink"/>
                  <w:rFonts w:ascii="Times New Roman;serif" w:hAnsi="Times New Roman;serif"/>
                  <w:b w:val="false"/>
                  <w:color w:val="0000FF"/>
                  <w:sz w:val="20"/>
                  <w:u w:val="single"/>
                </w:rPr>
                <w:t>Consolidated Statements of Cash Flows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e13d1b6f3764394b0e424082d2ac79f_163">
              <w:r>
                <w:rPr>
                  <w:rStyle w:val="InternetLink"/>
                  <w:rFonts w:ascii="Times New Roman;serif" w:hAnsi="Times New Roman;serif"/>
                  <w:b w:val="false"/>
                  <w:color w:val="0000FF"/>
                  <w:sz w:val="20"/>
                  <w:u w:val="single"/>
                </w:rPr>
                <w:t>129</w:t>
              </w:r>
            </w:hyperlink>
          </w:p>
        </w:tc>
      </w:tr>
      <w:tr>
        <w:trPr/>
        <w:tc>
          <w:tcPr>
            <w:tcW w:w="49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13d1b6f3764394b0e424082d2ac79f_166">
              <w:r>
                <w:rPr>
                  <w:rStyle w:val="InternetLink"/>
                  <w:rFonts w:ascii="Times New Roman;serif" w:hAnsi="Times New Roman;serif"/>
                  <w:b w:val="false"/>
                  <w:color w:val="0000FF"/>
                  <w:sz w:val="20"/>
                  <w:u w:val="single"/>
                </w:rPr>
                <w:t>Notes to Consolidated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e13d1b6f3764394b0e424082d2ac79f_166">
              <w:r>
                <w:rPr>
                  <w:rStyle w:val="InternetLink"/>
                  <w:rFonts w:ascii="Times New Roman;serif" w:hAnsi="Times New Roman;serif"/>
                  <w:b w:val="false"/>
                  <w:color w:val="0000FF"/>
                  <w:sz w:val="20"/>
                  <w:u w:val="single"/>
                </w:rPr>
                <w:t>130</w:t>
              </w:r>
            </w:hyperlink>
          </w:p>
        </w:tc>
      </w:tr>
      <w:tr>
        <w:trPr/>
        <w:tc>
          <w:tcPr>
            <w:tcW w:w="49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13d1b6f3764394b0e424082d2ac79f_169">
              <w:r>
                <w:rPr>
                  <w:rStyle w:val="InternetLink"/>
                  <w:rFonts w:ascii="Times New Roman;serif" w:hAnsi="Times New Roman;serif"/>
                  <w:b w:val="false"/>
                  <w:color w:val="0000FF"/>
                  <w:sz w:val="20"/>
                  <w:u w:val="single"/>
                </w:rPr>
                <w:t>Note 1 - Business and Organization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e13d1b6f3764394b0e424082d2ac79f_169">
              <w:r>
                <w:rPr>
                  <w:rStyle w:val="InternetLink"/>
                  <w:rFonts w:ascii="Times New Roman;serif" w:hAnsi="Times New Roman;serif"/>
                  <w:b w:val="false"/>
                  <w:color w:val="0000FF"/>
                  <w:sz w:val="20"/>
                  <w:u w:val="single"/>
                </w:rPr>
                <w:t>130</w:t>
              </w:r>
            </w:hyperlink>
          </w:p>
        </w:tc>
      </w:tr>
      <w:tr>
        <w:trPr/>
        <w:tc>
          <w:tcPr>
            <w:tcW w:w="49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13d1b6f3764394b0e424082d2ac79f_175">
              <w:r>
                <w:rPr>
                  <w:rStyle w:val="InternetLink"/>
                  <w:rFonts w:ascii="Times New Roman;serif" w:hAnsi="Times New Roman;serif"/>
                  <w:b w:val="false"/>
                  <w:color w:val="0000FF"/>
                  <w:sz w:val="20"/>
                  <w:u w:val="single"/>
                </w:rPr>
                <w:t>Note 2 - Significant Accounting Policies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e13d1b6f3764394b0e424082d2ac79f_175">
              <w:r>
                <w:rPr>
                  <w:rStyle w:val="InternetLink"/>
                  <w:rFonts w:ascii="Times New Roman;serif" w:hAnsi="Times New Roman;serif"/>
                  <w:b w:val="false"/>
                  <w:color w:val="0000FF"/>
                  <w:sz w:val="20"/>
                  <w:u w:val="single"/>
                </w:rPr>
                <w:t>131</w:t>
              </w:r>
            </w:hyperlink>
          </w:p>
        </w:tc>
      </w:tr>
      <w:tr>
        <w:trPr/>
        <w:tc>
          <w:tcPr>
            <w:tcW w:w="49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13d1b6f3764394b0e424082d2ac79f_259">
              <w:r>
                <w:rPr>
                  <w:rStyle w:val="InternetLink"/>
                  <w:rFonts w:ascii="Times New Roman;serif" w:hAnsi="Times New Roman;serif"/>
                  <w:b w:val="false"/>
                  <w:color w:val="0000FF"/>
                  <w:sz w:val="20"/>
                  <w:u w:val="single"/>
                </w:rPr>
                <w:t>Note 3 - Investments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e13d1b6f3764394b0e424082d2ac79f_259">
              <w:r>
                <w:rPr>
                  <w:rStyle w:val="InternetLink"/>
                  <w:rFonts w:ascii="Times New Roman;serif" w:hAnsi="Times New Roman;serif"/>
                  <w:b w:val="false"/>
                  <w:color w:val="0000FF"/>
                  <w:sz w:val="20"/>
                  <w:u w:val="single"/>
                </w:rPr>
                <w:t>148</w:t>
              </w:r>
            </w:hyperlink>
          </w:p>
        </w:tc>
      </w:tr>
      <w:tr>
        <w:trPr/>
        <w:tc>
          <w:tcPr>
            <w:tcW w:w="49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13d1b6f3764394b0e424082d2ac79f_271">
              <w:r>
                <w:rPr>
                  <w:rStyle w:val="InternetLink"/>
                  <w:rFonts w:ascii="Times New Roman;serif" w:hAnsi="Times New Roman;serif"/>
                  <w:b w:val="false"/>
                  <w:color w:val="0000FF"/>
                  <w:sz w:val="20"/>
                  <w:u w:val="single"/>
                </w:rPr>
                <w:t>Note 4 - Servicing</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e13d1b6f3764394b0e424082d2ac79f_271">
              <w:r>
                <w:rPr>
                  <w:rStyle w:val="InternetLink"/>
                  <w:rFonts w:ascii="Times New Roman;serif" w:hAnsi="Times New Roman;serif"/>
                  <w:b w:val="false"/>
                  <w:color w:val="0000FF"/>
                  <w:sz w:val="20"/>
                  <w:u w:val="single"/>
                </w:rPr>
                <w:t>153</w:t>
              </w:r>
            </w:hyperlink>
          </w:p>
        </w:tc>
      </w:tr>
      <w:tr>
        <w:trPr/>
        <w:tc>
          <w:tcPr>
            <w:tcW w:w="49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13d1b6f3764394b0e424082d2ac79f_274">
              <w:r>
                <w:rPr>
                  <w:rStyle w:val="InternetLink"/>
                  <w:rFonts w:ascii="Times New Roman;serif" w:hAnsi="Times New Roman;serif"/>
                  <w:b w:val="false"/>
                  <w:color w:val="0000FF"/>
                  <w:sz w:val="20"/>
                  <w:u w:val="single"/>
                </w:rPr>
                <w:t>Note 5 - Loans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e13d1b6f3764394b0e424082d2ac79f_274">
              <w:r>
                <w:rPr>
                  <w:rStyle w:val="InternetLink"/>
                  <w:rFonts w:ascii="Times New Roman;serif" w:hAnsi="Times New Roman;serif"/>
                  <w:b w:val="false"/>
                  <w:color w:val="0000FF"/>
                  <w:sz w:val="20"/>
                  <w:u w:val="single"/>
                </w:rPr>
                <w:t>154</w:t>
              </w:r>
            </w:hyperlink>
          </w:p>
        </w:tc>
      </w:tr>
      <w:tr>
        <w:trPr/>
        <w:tc>
          <w:tcPr>
            <w:tcW w:w="49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13d1b6f3764394b0e424082d2ac79f_277">
              <w:r>
                <w:rPr>
                  <w:rStyle w:val="InternetLink"/>
                  <w:rFonts w:ascii="Times New Roman;serif" w:hAnsi="Times New Roman;serif"/>
                  <w:b w:val="false"/>
                  <w:color w:val="0000FF"/>
                  <w:sz w:val="20"/>
                  <w:u w:val="single"/>
                </w:rPr>
                <w:t>Note 6 - Debt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e13d1b6f3764394b0e424082d2ac79f_277">
              <w:r>
                <w:rPr>
                  <w:rStyle w:val="InternetLink"/>
                  <w:rFonts w:ascii="Times New Roman;serif" w:hAnsi="Times New Roman;serif"/>
                  <w:b w:val="false"/>
                  <w:color w:val="0000FF"/>
                  <w:sz w:val="20"/>
                  <w:u w:val="single"/>
                </w:rPr>
                <w:t>156</w:t>
              </w:r>
            </w:hyperlink>
          </w:p>
        </w:tc>
      </w:tr>
      <w:tr>
        <w:trPr/>
        <w:tc>
          <w:tcPr>
            <w:tcW w:w="49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13d1b6f3764394b0e424082d2ac79f_289">
              <w:r>
                <w:rPr>
                  <w:rStyle w:val="InternetLink"/>
                  <w:rFonts w:ascii="Times New Roman;serif" w:hAnsi="Times New Roman;serif"/>
                  <w:b w:val="false"/>
                  <w:color w:val="0000FF"/>
                  <w:sz w:val="20"/>
                  <w:u w:val="single"/>
                </w:rPr>
                <w:t>Note 7 - Equity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e13d1b6f3764394b0e424082d2ac79f_289">
              <w:r>
                <w:rPr>
                  <w:rStyle w:val="InternetLink"/>
                  <w:rFonts w:ascii="Times New Roman;serif" w:hAnsi="Times New Roman;serif"/>
                  <w:b w:val="false"/>
                  <w:color w:val="0000FF"/>
                  <w:sz w:val="20"/>
                  <w:u w:val="single"/>
                </w:rPr>
                <w:t>160</w:t>
              </w:r>
            </w:hyperlink>
          </w:p>
        </w:tc>
      </w:tr>
      <w:tr>
        <w:trPr/>
        <w:tc>
          <w:tcPr>
            <w:tcW w:w="49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13d1b6f3764394b0e424082d2ac79f_328">
              <w:r>
                <w:rPr>
                  <w:rStyle w:val="InternetLink"/>
                  <w:rFonts w:ascii="Times New Roman;serif" w:hAnsi="Times New Roman;serif"/>
                  <w:b w:val="false"/>
                  <w:color w:val="000080"/>
                  <w:sz w:val="20"/>
                  <w:u w:val="single"/>
                </w:rPr>
                <w:t xml:space="preserve">Note 8 - Net </w:t>
              </w:r>
            </w:hyperlink>
            <w:hyperlink w:anchor="i8e13d1b6f3764394b0e424082d2ac79f_328">
              <w:r>
                <w:rPr>
                  <w:rStyle w:val="InternetLink"/>
                  <w:rFonts w:ascii="Times New Roman;serif" w:hAnsi="Times New Roman;serif"/>
                  <w:b w:val="false"/>
                  <w:color w:val="000080"/>
                  <w:sz w:val="20"/>
                  <w:u w:val="single"/>
                </w:rPr>
                <w:t>I</w:t>
              </w:r>
            </w:hyperlink>
            <w:hyperlink w:anchor="i8e13d1b6f3764394b0e424082d2ac79f_328">
              <w:r>
                <w:rPr>
                  <w:rStyle w:val="InternetLink"/>
                  <w:rFonts w:ascii="Times New Roman;serif" w:hAnsi="Times New Roman;serif"/>
                  <w:b w:val="false"/>
                  <w:color w:val="000080"/>
                  <w:sz w:val="20"/>
                  <w:u w:val="single"/>
                </w:rPr>
                <w:t>ncome (Loss) Per Share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e13d1b6f3764394b0e424082d2ac79f_328">
              <w:r>
                <w:rPr>
                  <w:rStyle w:val="InternetLink"/>
                  <w:rFonts w:ascii="Times New Roman;serif" w:hAnsi="Times New Roman;serif"/>
                  <w:b w:val="false"/>
                  <w:color w:val="0000FF"/>
                  <w:sz w:val="20"/>
                  <w:u w:val="single"/>
                </w:rPr>
                <w:t>168</w:t>
              </w:r>
            </w:hyperlink>
          </w:p>
        </w:tc>
      </w:tr>
      <w:tr>
        <w:trPr/>
        <w:tc>
          <w:tcPr>
            <w:tcW w:w="49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13d1b6f3764394b0e424082d2ac79f_334">
              <w:r>
                <w:rPr>
                  <w:rStyle w:val="InternetLink"/>
                  <w:rFonts w:ascii="Times New Roman;serif" w:hAnsi="Times New Roman;serif"/>
                  <w:b w:val="false"/>
                  <w:color w:val="0000FF"/>
                  <w:sz w:val="20"/>
                  <w:u w:val="single"/>
                </w:rPr>
                <w:t>Note 9 - Variable Interest Entities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e13d1b6f3764394b0e424082d2ac79f_334">
              <w:r>
                <w:rPr>
                  <w:rStyle w:val="InternetLink"/>
                  <w:rFonts w:ascii="Times New Roman;serif" w:hAnsi="Times New Roman;serif"/>
                  <w:b w:val="false"/>
                  <w:color w:val="0000FF"/>
                  <w:sz w:val="20"/>
                  <w:u w:val="single"/>
                </w:rPr>
                <w:t>168</w:t>
              </w:r>
            </w:hyperlink>
          </w:p>
        </w:tc>
      </w:tr>
      <w:tr>
        <w:trPr/>
        <w:tc>
          <w:tcPr>
            <w:tcW w:w="49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13d1b6f3764394b0e424082d2ac79f_337">
              <w:r>
                <w:rPr>
                  <w:rStyle w:val="InternetLink"/>
                  <w:rFonts w:ascii="Times New Roman;serif" w:hAnsi="Times New Roman;serif"/>
                  <w:b w:val="false"/>
                  <w:color w:val="0000FF"/>
                  <w:sz w:val="20"/>
                  <w:u w:val="single"/>
                </w:rPr>
                <w:t>Note 10 - Commitments and Contingencies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e13d1b6f3764394b0e424082d2ac79f_337">
              <w:r>
                <w:rPr>
                  <w:rStyle w:val="InternetLink"/>
                  <w:rFonts w:ascii="Times New Roman;serif" w:hAnsi="Times New Roman;serif"/>
                  <w:b w:val="false"/>
                  <w:color w:val="0000FF"/>
                  <w:sz w:val="20"/>
                  <w:u w:val="single"/>
                </w:rPr>
                <w:t>170</w:t>
              </w:r>
            </w:hyperlink>
          </w:p>
        </w:tc>
      </w:tr>
      <w:tr>
        <w:trPr/>
        <w:tc>
          <w:tcPr>
            <w:tcW w:w="49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13d1b6f3764394b0e424082d2ac79f_343">
              <w:r>
                <w:rPr>
                  <w:rStyle w:val="InternetLink"/>
                  <w:rFonts w:ascii="Times New Roman;serif" w:hAnsi="Times New Roman;serif"/>
                  <w:b w:val="false"/>
                  <w:color w:val="0000FF"/>
                  <w:sz w:val="20"/>
                  <w:u w:val="single"/>
                </w:rPr>
                <w:t>Note 11 - Related Party Transactions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e13d1b6f3764394b0e424082d2ac79f_343">
              <w:r>
                <w:rPr>
                  <w:rStyle w:val="InternetLink"/>
                  <w:rFonts w:ascii="Times New Roman;serif" w:hAnsi="Times New Roman;serif"/>
                  <w:b w:val="false"/>
                  <w:color w:val="0000FF"/>
                  <w:sz w:val="20"/>
                  <w:u w:val="single"/>
                </w:rPr>
                <w:t>172</w:t>
              </w:r>
            </w:hyperlink>
          </w:p>
        </w:tc>
      </w:tr>
      <w:tr>
        <w:trPr/>
        <w:tc>
          <w:tcPr>
            <w:tcW w:w="49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13d1b6f3764394b0e424082d2ac79f_349">
              <w:r>
                <w:rPr>
                  <w:rStyle w:val="InternetLink"/>
                  <w:rFonts w:ascii="Times New Roman;serif" w:hAnsi="Times New Roman;serif"/>
                  <w:b w:val="false"/>
                  <w:color w:val="0000FF"/>
                  <w:sz w:val="20"/>
                  <w:u w:val="single"/>
                </w:rPr>
                <w:t>Note 12 - Fair Value Measurements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e13d1b6f3764394b0e424082d2ac79f_349">
              <w:r>
                <w:rPr>
                  <w:rStyle w:val="InternetLink"/>
                  <w:rFonts w:ascii="Times New Roman;serif" w:hAnsi="Times New Roman;serif"/>
                  <w:b w:val="false"/>
                  <w:color w:val="0000FF"/>
                  <w:sz w:val="20"/>
                  <w:u w:val="single"/>
                </w:rPr>
                <w:t>174</w:t>
              </w:r>
            </w:hyperlink>
          </w:p>
        </w:tc>
      </w:tr>
      <w:tr>
        <w:trPr/>
        <w:tc>
          <w:tcPr>
            <w:tcW w:w="49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13d1b6f3764394b0e424082d2ac79f_364">
              <w:r>
                <w:rPr>
                  <w:rStyle w:val="InternetLink"/>
                  <w:rFonts w:ascii="Times New Roman;serif" w:hAnsi="Times New Roman;serif"/>
                  <w:b w:val="false"/>
                  <w:color w:val="0000FF"/>
                  <w:sz w:val="20"/>
                  <w:u w:val="single"/>
                </w:rPr>
                <w:t>Note 13 - Income Taxes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e13d1b6f3764394b0e424082d2ac79f_364">
              <w:r>
                <w:rPr>
                  <w:rStyle w:val="InternetLink"/>
                  <w:rFonts w:ascii="Times New Roman;serif" w:hAnsi="Times New Roman;serif"/>
                  <w:b w:val="false"/>
                  <w:color w:val="0000FF"/>
                  <w:sz w:val="20"/>
                  <w:u w:val="single"/>
                </w:rPr>
                <w:t>178</w:t>
              </w:r>
            </w:hyperlink>
          </w:p>
        </w:tc>
      </w:tr>
      <w:tr>
        <w:trPr/>
        <w:tc>
          <w:tcPr>
            <w:tcW w:w="49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13d1b6f3764394b0e424082d2ac79f_385">
              <w:r>
                <w:rPr>
                  <w:rStyle w:val="InternetLink"/>
                  <w:rFonts w:ascii="Times New Roman;serif" w:hAnsi="Times New Roman;serif"/>
                  <w:b w:val="false"/>
                  <w:color w:val="000080"/>
                  <w:sz w:val="20"/>
                  <w:u w:val="single"/>
                </w:rPr>
                <w:t>N</w:t>
              </w:r>
            </w:hyperlink>
            <w:hyperlink w:anchor="i8e13d1b6f3764394b0e424082d2ac79f_385">
              <w:r>
                <w:rPr>
                  <w:rStyle w:val="InternetLink"/>
                  <w:rFonts w:ascii="Times New Roman;serif" w:hAnsi="Times New Roman;serif"/>
                  <w:b w:val="false"/>
                  <w:color w:val="000080"/>
                  <w:sz w:val="20"/>
                  <w:u w:val="single"/>
                </w:rPr>
                <w:t>ote 14 - Subseque</w:t>
              </w:r>
            </w:hyperlink>
            <w:hyperlink w:anchor="i8e13d1b6f3764394b0e424082d2ac79f_385">
              <w:r>
                <w:rPr>
                  <w:rStyle w:val="InternetLink"/>
                  <w:rFonts w:ascii="Times New Roman;serif" w:hAnsi="Times New Roman;serif"/>
                  <w:b w:val="false"/>
                  <w:color w:val="000080"/>
                  <w:sz w:val="20"/>
                  <w:u w:val="single"/>
                </w:rPr>
                <w:t>nt E</w:t>
              </w:r>
            </w:hyperlink>
            <w:hyperlink w:anchor="i8e13d1b6f3764394b0e424082d2ac79f_385">
              <w:r>
                <w:rPr>
                  <w:rStyle w:val="InternetLink"/>
                  <w:rFonts w:ascii="Times New Roman;serif" w:hAnsi="Times New Roman;serif"/>
                  <w:b w:val="false"/>
                  <w:color w:val="000080"/>
                  <w:sz w:val="20"/>
                  <w:u w:val="single"/>
                </w:rPr>
                <w:t>vents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e13d1b6f3764394b0e424082d2ac79f_385">
              <w:r>
                <w:rPr>
                  <w:rStyle w:val="InternetLink"/>
                  <w:rFonts w:ascii="Times New Roman;serif" w:hAnsi="Times New Roman;serif"/>
                  <w:b w:val="false"/>
                  <w:color w:val="0000FF"/>
                  <w:sz w:val="20"/>
                  <w:u w:val="single"/>
                </w:rPr>
                <w:t>180</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46685"/>
                <wp:effectExtent l="0" t="0" r="0" b="0"/>
                <wp:wrapNone/>
                <wp:docPr id="124" name="Frame1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123</w:t>
                      </w:r>
                    </w:p>
                  </w:txbxContent>
                </v:textbox>
                <w10:wrap type="none"/>
              </v:rect>
            </w:pict>
          </mc:Fallback>
        </mc:AlternateContent>
      </w:r>
    </w:p>
    <w:tbl>
      <w:tblPr>
        <w:tblW w:w="4106" w:type="dxa"/>
        <w:jc w:val="left"/>
        <w:tblInd w:w="0" w:type="dxa"/>
        <w:tblLayout w:type="fixed"/>
        <w:tblCellMar>
          <w:top w:w="28" w:type="dxa"/>
          <w:left w:w="28" w:type="dxa"/>
          <w:bottom w:w="28" w:type="dxa"/>
          <w:right w:w="28" w:type="dxa"/>
        </w:tblCellMar>
      </w:tblPr>
      <w:tblGrid>
        <w:gridCol w:w="689"/>
        <w:gridCol w:w="605"/>
        <w:gridCol w:w="607"/>
        <w:gridCol w:w="644"/>
        <w:gridCol w:w="644"/>
        <w:gridCol w:w="917"/>
      </w:tblGrid>
      <w:tr>
        <w:trPr/>
        <w:tc>
          <w:tcPr>
            <w:tcW w:w="689"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r>
      <w:tr>
        <w:trPr/>
        <w:tc>
          <w:tcPr>
            <w:tcW w:w="1901" w:type="dxa"/>
            <w:gridSpan w:val="3"/>
            <w:tcBorders/>
            <w:tcMar>
              <w:top w:w="0" w:type="dxa"/>
              <w:left w:w="0" w:type="dxa"/>
              <w:bottom w:w="0" w:type="dxa"/>
              <w:right w:w="0" w:type="dxa"/>
            </w:tcMar>
            <w:vAlign w:val="center"/>
          </w:tcPr>
          <w:p>
            <w:pPr>
              <w:pStyle w:val="TableContents"/>
              <w:bidi w:val="0"/>
              <w:spacing w:before="0" w:after="180"/>
              <w:jc w:val="left"/>
              <w:rPr/>
            </w:pPr>
            <w:r>
              <w:rPr/>
              <w:drawing>
                <wp:inline distT="0" distB="0" distL="0" distR="0">
                  <wp:extent cx="1143000" cy="457200"/>
                  <wp:effectExtent l="0" t="0" r="0" b="0"/>
                  <wp:docPr id="12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2" descr=""/>
                          <pic:cNvPicPr>
                            <a:picLocks noChangeAspect="1" noChangeArrowheads="1"/>
                          </pic:cNvPicPr>
                        </pic:nvPicPr>
                        <pic:blipFill>
                          <a:blip r:embed="rId3"/>
                          <a:stretch>
                            <a:fillRect/>
                          </a:stretch>
                        </pic:blipFill>
                        <pic:spPr bwMode="auto">
                          <a:xfrm>
                            <a:off x="0" y="0"/>
                            <a:ext cx="1143000" cy="457200"/>
                          </a:xfrm>
                          <a:prstGeom prst="rect">
                            <a:avLst/>
                          </a:prstGeom>
                        </pic:spPr>
                      </pic:pic>
                    </a:graphicData>
                  </a:graphic>
                </wp:inline>
              </w:drawing>
            </w:r>
            <w:bookmarkStart w:id="1" w:name="i-2"/>
            <w:bookmarkEnd w:id="1"/>
          </w:p>
        </w:tc>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KPMG LLP</w:t>
              <w:br/>
              <w:t>Suite 1400</w:t>
              <w:br/>
              <w:t>55 Second Street</w:t>
              <w:br/>
              <w:t>San Francisco, CA 94105</w:t>
            </w:r>
          </w:p>
        </w:tc>
      </w:tr>
    </w:tbl>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Report of Independent Registered Public Accounting Firm</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 the Board of Directors of</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Figure Technology Solutions, Inc:</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To the Board of Directors Figure Technology Solutions, Inc.:</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Opinion on the Consolidated Financial Statements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have audited the accompanying consolidated balance sheets of Figure Technology Solutions, Inc. and subsidiaries (the Company) as of December 31, 2025 and December 31, 2024, the related consolidated statements of operations, stockholders’ equity, and cash flows for each of the years in the three-year period ended December 31, 2025, and the related notes (collectively, the consolidated financial statements). In our opinion, the consolidated financial statements present fairly, in all material respects, the financial position of the Company as of December 31, 2025 and December 31, 2024, and the results of its operations and its cash flows for each of the years in the three-year period ended December 31, 2025, in conformity with U.S. generally accepted accounting principles.</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Change in Accounting Principle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discussed in Note 2 to the consolidated financial statements, the Company has elected to change its method of accounting for payment stablecoins to classify them to cash equivalents as of December 31, 2023 and December 31, 2024.</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Basis for Opinion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pStyle w:val="TextBody"/>
        <w:bidi w:val="0"/>
        <w:spacing w:before="0" w:after="0"/>
        <w:jc w:val="left"/>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 KPMG LLP</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have served as the Company’s auditor since 2022.</w:t>
      </w:r>
    </w:p>
    <w:p>
      <w:pPr>
        <w:pStyle w:val="TextBody"/>
        <w:bidi w:val="0"/>
        <w:spacing w:before="0" w:after="18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San Francisco, California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March 13,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46685"/>
                <wp:effectExtent l="0" t="0" r="0" b="0"/>
                <wp:wrapNone/>
                <wp:docPr id="126" name="Frame1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124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FIGURE TECHNOLOGY SOLUTIONS,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p>
      <w:pPr>
        <w:pStyle w:val="TextBody"/>
        <w:bidi w:val="0"/>
        <w:spacing w:before="0" w:after="180"/>
        <w:jc w:val="left"/>
        <w:rPr/>
      </w:pPr>
      <w:r>
        <w:rPr/>
      </w:r>
    </w:p>
    <w:tbl>
      <w:tblPr>
        <w:tblW w:w="10205" w:type="dxa"/>
        <w:jc w:val="center"/>
        <w:tblInd w:w="0" w:type="dxa"/>
        <w:tblLayout w:type="fixed"/>
        <w:tblCellMar>
          <w:top w:w="28" w:type="dxa"/>
          <w:left w:w="28" w:type="dxa"/>
          <w:bottom w:w="28" w:type="dxa"/>
          <w:right w:w="28" w:type="dxa"/>
        </w:tblCellMar>
      </w:tblPr>
      <w:tblGrid>
        <w:gridCol w:w="3003"/>
        <w:gridCol w:w="2117"/>
        <w:gridCol w:w="2122"/>
        <w:gridCol w:w="215"/>
        <w:gridCol w:w="959"/>
        <w:gridCol w:w="119"/>
        <w:gridCol w:w="109"/>
        <w:gridCol w:w="109"/>
        <w:gridCol w:w="109"/>
        <w:gridCol w:w="215"/>
        <w:gridCol w:w="955"/>
        <w:gridCol w:w="173"/>
      </w:tblGrid>
      <w:tr>
        <w:trPr/>
        <w:tc>
          <w:tcPr>
            <w:tcW w:w="3003" w:type="dxa"/>
            <w:tcBorders/>
            <w:vAlign w:val="center"/>
          </w:tcPr>
          <w:p>
            <w:pPr>
              <w:pStyle w:val="TableContents"/>
              <w:bidi w:val="0"/>
              <w:spacing w:before="0" w:after="283"/>
              <w:jc w:val="left"/>
              <w:rPr>
                <w:sz w:val="4"/>
                <w:szCs w:val="4"/>
              </w:rPr>
            </w:pPr>
            <w:r>
              <w:rPr>
                <w:sz w:val="4"/>
                <w:szCs w:val="4"/>
              </w:rPr>
            </w:r>
          </w:p>
        </w:tc>
        <w:tc>
          <w:tcPr>
            <w:tcW w:w="2117" w:type="dxa"/>
            <w:tcBorders/>
            <w:vAlign w:val="center"/>
          </w:tcPr>
          <w:p>
            <w:pPr>
              <w:pStyle w:val="TableContents"/>
              <w:bidi w:val="0"/>
              <w:spacing w:before="0" w:after="283"/>
              <w:jc w:val="left"/>
              <w:rPr>
                <w:sz w:val="4"/>
                <w:szCs w:val="4"/>
              </w:rPr>
            </w:pPr>
            <w:r>
              <w:rPr>
                <w:sz w:val="4"/>
                <w:szCs w:val="4"/>
              </w:rPr>
            </w:r>
          </w:p>
        </w:tc>
        <w:tc>
          <w:tcPr>
            <w:tcW w:w="2122"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72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72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ASSETS</w:t>
            </w:r>
          </w:p>
        </w:tc>
        <w:tc>
          <w:tcPr>
            <w:tcW w:w="12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12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1,198,141 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289,670 </w:t>
            </w:r>
          </w:p>
        </w:tc>
        <w:tc>
          <w:tcPr>
            <w:tcW w:w="17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w:t>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68,637 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57,777 </w:t>
            </w:r>
          </w:p>
        </w:tc>
        <w:tc>
          <w:tcPr>
            <w:tcW w:w="17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Loans held for sale, at fair value</w:t>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404,337 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395,922 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Digital assets ($84,867 and $73,942 at fair value)</w:t>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96,558 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75,448 </w:t>
            </w:r>
          </w:p>
        </w:tc>
        <w:tc>
          <w:tcPr>
            <w:tcW w:w="17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net</w:t>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52,016 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20,998 </w:t>
            </w:r>
          </w:p>
        </w:tc>
        <w:tc>
          <w:tcPr>
            <w:tcW w:w="17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assets</w:t>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41,518 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14,875 </w:t>
            </w:r>
          </w:p>
        </w:tc>
        <w:tc>
          <w:tcPr>
            <w:tcW w:w="17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11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1,861,207 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854,690 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Loan servicing asset, at fair value</w:t>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113,064 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88,497 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2"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72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Marketable securities, at fair value</w:t>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273,151 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163,489 </w:t>
            </w:r>
          </w:p>
        </w:tc>
        <w:tc>
          <w:tcPr>
            <w:tcW w:w="17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Digital assets, non-current</w:t>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3,644 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9,704 </w:t>
            </w:r>
          </w:p>
        </w:tc>
        <w:tc>
          <w:tcPr>
            <w:tcW w:w="17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Loan to related parties</w:t>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9,372 </w:t>
            </w:r>
          </w:p>
        </w:tc>
        <w:tc>
          <w:tcPr>
            <w:tcW w:w="17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 net</w:t>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26,037 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assets</w:t>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40,420 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33,826 </w:t>
            </w:r>
          </w:p>
        </w:tc>
        <w:tc>
          <w:tcPr>
            <w:tcW w:w="17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2,317,523 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1,159,578 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LIABILITIES AND STOCKHOLDERS' EQUITY</w:t>
            </w:r>
          </w:p>
        </w:tc>
        <w:tc>
          <w:tcPr>
            <w:tcW w:w="12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12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and accrued liabilities</w:t>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29,501 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37,217 </w:t>
            </w:r>
          </w:p>
        </w:tc>
        <w:tc>
          <w:tcPr>
            <w:tcW w:w="17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Payables to third-party loan owners</w:t>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383,772 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212,619 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Debt, current ($100,519 and $— at fair value)</w:t>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160,959 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305,294 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Debt, current to related parties ($166,135 and $— at fair value)</w:t>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166,135 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liabilities</w:t>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105,642 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70,401 </w:t>
            </w:r>
          </w:p>
        </w:tc>
        <w:tc>
          <w:tcPr>
            <w:tcW w:w="17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11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846,009 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625,531 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Debt, non-current</w:t>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230,143 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167,882 </w:t>
            </w:r>
          </w:p>
        </w:tc>
        <w:tc>
          <w:tcPr>
            <w:tcW w:w="17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 liability, non-current</w:t>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4,173 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2,790 </w:t>
            </w:r>
          </w:p>
        </w:tc>
        <w:tc>
          <w:tcPr>
            <w:tcW w:w="17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11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1,080,325 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796,203 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Stockholders' equity:</w:t>
            </w:r>
          </w:p>
        </w:tc>
        <w:tc>
          <w:tcPr>
            <w:tcW w:w="12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Convertible preferred stock — no shares authorized, issued and outstanding at December 31, 2025; $0.00001 par value per share: 115,983,447 shares authorized, 111,900,495 shares issued and outstanding at December 31, 2024, liquidation preference $528,566,000</w:t>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Common stock — no shares authorized, issued and outstanding at December 31, 2025; $0.00001 par value per share: 240,820,153 shares authorized, 69,300,284 issued and outstanding at December 31, 2024</w:t>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Preferred stock — $0.0001 par value per share: 100,000,000 shares authorized, no shares issued and outstanding at December 31, 2025 and 2024</w:t>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Class A common stock — $0.0001 par value per share: 1,000,000,000 shares authorized, 178,485,407 shares issued and outstanding at December 31, 2025; no shares authorized, issued and outstanding at December 31, 2024</w:t>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Class B common stock — $0.0001 par value per share: 200,000,000 shares authorized, 37,893,047 shares issued and outstanding at December 31, 2025; no shares authorized, issued and outstanding at December 31, 2024</w:t>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Blockchain common stock — $0.0001 par value per share: 500,000,000 shares authorized, no shares issued and outstanding at December 31, 2025 and 2024</w:t>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1,415,804 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675,945 </w:t>
            </w:r>
          </w:p>
        </w:tc>
        <w:tc>
          <w:tcPr>
            <w:tcW w:w="17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deficit</w:t>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(186,993)</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(320,851)</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Total Figure Technology Solutions, Inc. stockholders' equity</w:t>
            </w:r>
          </w:p>
        </w:tc>
        <w:tc>
          <w:tcPr>
            <w:tcW w:w="11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1,228,834 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355,098 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Noncontrolling interests in consolidated subsidiaries</w:t>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8,364 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8,277 </w:t>
            </w:r>
          </w:p>
        </w:tc>
        <w:tc>
          <w:tcPr>
            <w:tcW w:w="17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stockholders' equity</w:t>
            </w:r>
          </w:p>
        </w:tc>
        <w:tc>
          <w:tcPr>
            <w:tcW w:w="11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1,237,198 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363,375 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and stockholders' equity</w:t>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2,317,523 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1,159,578 </w:t>
            </w:r>
          </w:p>
        </w:tc>
        <w:tc>
          <w:tcPr>
            <w:tcW w:w="1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293370"/>
                <wp:effectExtent l="0" t="0" r="0" b="0"/>
                <wp:wrapNone/>
                <wp:docPr id="127" name="Frame125"/>
                <a:graphic xmlns:a="http://schemas.openxmlformats.org/drawingml/2006/main">
                  <a:graphicData uri="http://schemas.microsoft.com/office/word/2010/wordprocessingShape">
                    <wps:wsp>
                      <wps:cNvSpPr txBox="1"/>
                      <wps:spPr>
                        <a:xfrm>
                          <a:off x="0" y="0"/>
                          <a:ext cx="6480175" cy="293370"/>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125</w:t>
                            </w:r>
                          </w:p>
                          <w:p>
                            <w:pPr>
                              <w:pStyle w:val="TextBody"/>
                              <w:bidi w:val="0"/>
                              <w:spacing w:lineRule="auto" w:line="288" w:before="0" w:after="180"/>
                              <w:jc w:val="left"/>
                              <w:rPr/>
                            </w:pPr>
                            <w:hyperlink w:anchor="i8e13d1b6f3764394b0e424082d2ac79f_151">
                              <w:r>
                                <w:rPr>
                                  <w:rStyle w:val="InternetLink"/>
                                  <w:rFonts w:ascii="Times New Roman;serif" w:hAnsi="Times New Roman;serif"/>
                                  <w:b w:val="false"/>
                                  <w:color w:val="0000FF"/>
                                  <w:sz w:val="20"/>
                                  <w:u w:val="single"/>
                                </w:rPr>
                                <w:t>Table of Contents</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125</w:t>
                      </w:r>
                    </w:p>
                    <w:p>
                      <w:pPr>
                        <w:pStyle w:val="TextBody"/>
                        <w:bidi w:val="0"/>
                        <w:spacing w:lineRule="auto" w:line="288" w:before="0" w:after="180"/>
                        <w:jc w:val="left"/>
                        <w:rPr/>
                      </w:pPr>
                      <w:hyperlink w:anchor="i8e13d1b6f3764394b0e424082d2ac79f_151">
                        <w:r>
                          <w:rPr>
                            <w:rStyle w:val="InternetLink"/>
                            <w:rFonts w:ascii="Times New Roman;serif" w:hAnsi="Times New Roman;serif"/>
                            <w:b w:val="false"/>
                            <w:color w:val="0000FF"/>
                            <w:sz w:val="20"/>
                            <w:u w:val="single"/>
                          </w:rPr>
                          <w:t>Table of Contents</w:t>
                        </w:r>
                      </w:hyperlink>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FIGURE TECHNOLOGY SOLUTIONS,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tbl>
      <w:tblPr>
        <w:tblW w:w="10089" w:type="dxa"/>
        <w:jc w:val="left"/>
        <w:tblInd w:w="0" w:type="dxa"/>
        <w:tblLayout w:type="fixed"/>
        <w:tblCellMar>
          <w:top w:w="28" w:type="dxa"/>
          <w:left w:w="28" w:type="dxa"/>
          <w:bottom w:w="28" w:type="dxa"/>
          <w:right w:w="28" w:type="dxa"/>
        </w:tblCellMar>
      </w:tblPr>
      <w:tblGrid>
        <w:gridCol w:w="2209"/>
        <w:gridCol w:w="1934"/>
        <w:gridCol w:w="1947"/>
        <w:gridCol w:w="221"/>
        <w:gridCol w:w="830"/>
        <w:gridCol w:w="109"/>
        <w:gridCol w:w="109"/>
        <w:gridCol w:w="109"/>
        <w:gridCol w:w="109"/>
        <w:gridCol w:w="223"/>
        <w:gridCol w:w="738"/>
        <w:gridCol w:w="109"/>
        <w:gridCol w:w="109"/>
        <w:gridCol w:w="109"/>
        <w:gridCol w:w="109"/>
        <w:gridCol w:w="219"/>
        <w:gridCol w:w="742"/>
        <w:gridCol w:w="154"/>
      </w:tblGrid>
      <w:tr>
        <w:trPr/>
        <w:tc>
          <w:tcPr>
            <w:tcW w:w="2209" w:type="dxa"/>
            <w:tcBorders/>
            <w:vAlign w:val="center"/>
          </w:tcPr>
          <w:p>
            <w:pPr>
              <w:pStyle w:val="TableContents"/>
              <w:bidi w:val="0"/>
              <w:spacing w:before="0" w:after="283"/>
              <w:jc w:val="left"/>
              <w:rPr>
                <w:sz w:val="4"/>
                <w:szCs w:val="4"/>
              </w:rPr>
            </w:pPr>
            <w:r>
              <w:rPr>
                <w:sz w:val="4"/>
                <w:szCs w:val="4"/>
              </w:rPr>
            </w:r>
          </w:p>
        </w:tc>
        <w:tc>
          <w:tcPr>
            <w:tcW w:w="1934" w:type="dxa"/>
            <w:tcBorders/>
            <w:vAlign w:val="center"/>
          </w:tcPr>
          <w:p>
            <w:pPr>
              <w:pStyle w:val="TableContents"/>
              <w:bidi w:val="0"/>
              <w:spacing w:before="0" w:after="283"/>
              <w:jc w:val="left"/>
              <w:rPr>
                <w:sz w:val="4"/>
                <w:szCs w:val="4"/>
              </w:rPr>
            </w:pPr>
            <w:r>
              <w:rPr>
                <w:sz w:val="4"/>
                <w:szCs w:val="4"/>
              </w:rPr>
            </w:r>
          </w:p>
        </w:tc>
        <w:tc>
          <w:tcPr>
            <w:tcW w:w="1947"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Years Ended December 31,</w:t>
            </w:r>
          </w:p>
        </w:tc>
      </w:tr>
      <w:tr>
        <w:trPr/>
        <w:tc>
          <w:tcPr>
            <w:tcW w:w="6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revenue:</w:t>
            </w:r>
          </w:p>
        </w:tc>
        <w:tc>
          <w:tcPr>
            <w:tcW w:w="11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Ecosystem and technology fees</w:t>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120,808 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10,628 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Servicing fees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18,620 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74,810 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48,155 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Origination fees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72,536 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64,867 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58,546 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sale of loans, net</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180,024 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50,343 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servicing asset, net</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22,083 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revenue</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1,174 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net revenue</w:t>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506,865 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340,885 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209,549 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Expenses:</w:t>
            </w:r>
          </w:p>
        </w:tc>
        <w:tc>
          <w:tcPr>
            <w:tcW w:w="11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131,971 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104,251 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58,794 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Technology and product development</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64,922 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62,657 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49,154 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Operations and processing</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65,056 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44,452 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38,930 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Sales and marketing</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76,094 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55,657 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52,761 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48,870 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56,415 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49,200 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expense</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10,148 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expenses</w:t>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389,338 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331,650 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258,987 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income (loss)</w:t>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117,527 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(49,438)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(expense) income, net</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(2,903)</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before income taxes</w:t>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113,675 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(52,341)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(benefit) provision</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134,281 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(52,443)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attributable to noncontrolling interests in consolidated subsidiaries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Net income (loss) attributable to Figure Technology Solutions, Inc.</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133,858 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(47,935)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 xml:space="preserve">Net income (loss) per share of Class A and Class B common stock </w:t>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(0.93)</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(0.93)</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Weighted-average Class A and Class B common shares outstanding </w:t>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114,435,259 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65,020,119 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51,305,065 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141,802,002 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72,637,457 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51,305,065 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293370"/>
                <wp:effectExtent l="0" t="0" r="0" b="0"/>
                <wp:wrapNone/>
                <wp:docPr id="128" name="Frame126"/>
                <a:graphic xmlns:a="http://schemas.openxmlformats.org/drawingml/2006/main">
                  <a:graphicData uri="http://schemas.microsoft.com/office/word/2010/wordprocessingShape">
                    <wps:wsp>
                      <wps:cNvSpPr txBox="1"/>
                      <wps:spPr>
                        <a:xfrm>
                          <a:off x="0" y="0"/>
                          <a:ext cx="6480175" cy="293370"/>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126</w:t>
                            </w:r>
                          </w:p>
                          <w:p>
                            <w:pPr>
                              <w:pStyle w:val="TextBody"/>
                              <w:bidi w:val="0"/>
                              <w:spacing w:lineRule="auto" w:line="288" w:before="0" w:after="180"/>
                              <w:jc w:val="left"/>
                              <w:rPr/>
                            </w:pPr>
                            <w:hyperlink w:anchor="i8e13d1b6f3764394b0e424082d2ac79f_151">
                              <w:r>
                                <w:rPr>
                                  <w:rStyle w:val="InternetLink"/>
                                  <w:rFonts w:ascii="Times New Roman;serif" w:hAnsi="Times New Roman;serif"/>
                                  <w:b w:val="false"/>
                                  <w:color w:val="0000FF"/>
                                  <w:sz w:val="20"/>
                                  <w:u w:val="single"/>
                                </w:rPr>
                                <w:t>Table of Contents</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126</w:t>
                      </w:r>
                    </w:p>
                    <w:p>
                      <w:pPr>
                        <w:pStyle w:val="TextBody"/>
                        <w:bidi w:val="0"/>
                        <w:spacing w:lineRule="auto" w:line="288" w:before="0" w:after="180"/>
                        <w:jc w:val="left"/>
                        <w:rPr/>
                      </w:pPr>
                      <w:hyperlink w:anchor="i8e13d1b6f3764394b0e424082d2ac79f_151">
                        <w:r>
                          <w:rPr>
                            <w:rStyle w:val="InternetLink"/>
                            <w:rFonts w:ascii="Times New Roman;serif" w:hAnsi="Times New Roman;serif"/>
                            <w:b w:val="false"/>
                            <w:color w:val="0000FF"/>
                            <w:sz w:val="20"/>
                            <w:u w:val="single"/>
                          </w:rPr>
                          <w:t>Table of Contents</w:t>
                        </w:r>
                      </w:hyperlink>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FIGURE TECHNOLOGY SOLUTIONS,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STOCKHOLDERS'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p>
      <w:pPr>
        <w:pStyle w:val="TextBody"/>
        <w:bidi w:val="0"/>
        <w:spacing w:before="0" w:after="0"/>
        <w:jc w:val="left"/>
        <w:rPr/>
      </w:pPr>
      <w:r>
        <w:rPr/>
      </w:r>
    </w:p>
    <w:p>
      <w:pPr>
        <w:pStyle w:val="TextBody"/>
        <w:bidi w:val="0"/>
        <w:spacing w:before="0" w:after="180"/>
        <w:jc w:val="left"/>
        <w:rPr/>
      </w:pPr>
      <w:r>
        <w:rPr/>
      </w:r>
    </w:p>
    <w:tbl>
      <w:tblPr>
        <w:tblW w:w="13521" w:type="dxa"/>
        <w:jc w:val="center"/>
        <w:tblInd w:w="0" w:type="dxa"/>
        <w:tblLayout w:type="fixed"/>
        <w:tblCellMar>
          <w:top w:w="28" w:type="dxa"/>
          <w:left w:w="28" w:type="dxa"/>
          <w:bottom w:w="28" w:type="dxa"/>
          <w:right w:w="28" w:type="dxa"/>
        </w:tblCellMar>
      </w:tblPr>
      <w:tblGrid>
        <w:gridCol w:w="659"/>
        <w:gridCol w:w="263"/>
        <w:gridCol w:w="264"/>
        <w:gridCol w:w="600"/>
        <w:gridCol w:w="451"/>
        <w:gridCol w:w="119"/>
        <w:gridCol w:w="302"/>
        <w:gridCol w:w="265"/>
        <w:gridCol w:w="124"/>
        <w:gridCol w:w="480"/>
        <w:gridCol w:w="481"/>
        <w:gridCol w:w="196"/>
        <w:gridCol w:w="273"/>
        <w:gridCol w:w="309"/>
        <w:gridCol w:w="109"/>
        <w:gridCol w:w="435"/>
        <w:gridCol w:w="436"/>
        <w:gridCol w:w="196"/>
        <w:gridCol w:w="196"/>
        <w:gridCol w:w="406"/>
        <w:gridCol w:w="109"/>
        <w:gridCol w:w="203"/>
        <w:gridCol w:w="203"/>
        <w:gridCol w:w="196"/>
        <w:gridCol w:w="196"/>
        <w:gridCol w:w="406"/>
        <w:gridCol w:w="109"/>
        <w:gridCol w:w="196"/>
        <w:gridCol w:w="736"/>
        <w:gridCol w:w="109"/>
        <w:gridCol w:w="196"/>
        <w:gridCol w:w="751"/>
        <w:gridCol w:w="109"/>
        <w:gridCol w:w="206"/>
        <w:gridCol w:w="774"/>
        <w:gridCol w:w="116"/>
        <w:gridCol w:w="273"/>
        <w:gridCol w:w="775"/>
        <w:gridCol w:w="153"/>
        <w:gridCol w:w="205"/>
        <w:gridCol w:w="773"/>
        <w:gridCol w:w="163"/>
      </w:tblGrid>
      <w:tr>
        <w:trPr/>
        <w:tc>
          <w:tcPr>
            <w:tcW w:w="6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186"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Convertible Preferred Stock</w:t>
            </w:r>
          </w:p>
        </w:tc>
        <w:tc>
          <w:tcPr>
            <w:tcW w:w="184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177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A Common Stock</w:t>
            </w:r>
          </w:p>
        </w:tc>
        <w:tc>
          <w:tcPr>
            <w:tcW w:w="131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B Common Stock</w:t>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Paid-In</w:t>
              <w:br/>
              <w:t>Capital</w:t>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Deficit</w:t>
            </w:r>
          </w:p>
        </w:tc>
        <w:tc>
          <w:tcPr>
            <w:tcW w:w="10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Figure Technology Solutions, Inc. Stockholders’</w:t>
              <w:br/>
              <w:t>Equity</w:t>
            </w:r>
          </w:p>
        </w:tc>
        <w:tc>
          <w:tcPr>
            <w:tcW w:w="120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Noncontrolling Interests in Consolidated Subsidiaries</w:t>
            </w:r>
          </w:p>
        </w:tc>
        <w:tc>
          <w:tcPr>
            <w:tcW w:w="11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Stockholders’</w:t>
              <w:br/>
              <w:t>Equity</w:t>
            </w:r>
          </w:p>
        </w:tc>
      </w:tr>
      <w:tr>
        <w:trPr/>
        <w:tc>
          <w:tcPr>
            <w:tcW w:w="1186" w:type="dxa"/>
            <w:gridSpan w:val="3"/>
            <w:vMerge w:val="continue"/>
            <w:tcBorders/>
            <w:tcMar>
              <w:top w:w="0" w:type="dxa"/>
              <w:left w:w="0" w:type="dxa"/>
              <w:bottom w:w="0" w:type="dxa"/>
              <w:right w:w="0" w:type="dxa"/>
            </w:tcMar>
            <w:vAlign w:val="center"/>
          </w:tcPr>
          <w:p>
            <w:pPr>
              <w:pStyle w:val="Normal"/>
              <w:bidi w:val="0"/>
              <w:jc w:val="left"/>
              <w:rPr/>
            </w:pPr>
            <w:r>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11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10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6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Amount</w:t>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1096" w:type="dxa"/>
            <w:gridSpan w:val="3"/>
            <w:vMerge w:val="continue"/>
            <w:tcBorders/>
            <w:tcMar>
              <w:top w:w="0" w:type="dxa"/>
              <w:left w:w="0" w:type="dxa"/>
              <w:bottom w:w="0" w:type="dxa"/>
              <w:right w:w="0" w:type="dxa"/>
            </w:tcMar>
            <w:vAlign w:val="center"/>
          </w:tcPr>
          <w:p>
            <w:pPr>
              <w:pStyle w:val="Normal"/>
              <w:bidi w:val="0"/>
              <w:jc w:val="left"/>
              <w:rPr/>
            </w:pPr>
            <w:r>
              <w:rPr/>
            </w:r>
          </w:p>
        </w:tc>
        <w:tc>
          <w:tcPr>
            <w:tcW w:w="1201" w:type="dxa"/>
            <w:gridSpan w:val="3"/>
            <w:vMerge w:val="continue"/>
            <w:tcBorders/>
            <w:tcMar>
              <w:top w:w="0" w:type="dxa"/>
              <w:left w:w="0" w:type="dxa"/>
              <w:bottom w:w="0" w:type="dxa"/>
              <w:right w:w="0" w:type="dxa"/>
            </w:tcMar>
            <w:vAlign w:val="center"/>
          </w:tcPr>
          <w:p>
            <w:pPr>
              <w:pStyle w:val="Normal"/>
              <w:bidi w:val="0"/>
              <w:jc w:val="left"/>
              <w:rPr/>
            </w:pPr>
            <w:r>
              <w:rPr/>
            </w:r>
          </w:p>
        </w:tc>
        <w:tc>
          <w:tcPr>
            <w:tcW w:w="114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December 31, 2022</w:t>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104,575,110 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51,035,303 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540,540 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(289,823)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250,719 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9,500 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260,219 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Exercise of stock options and warrants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582,905 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1,143 </w:t>
            </w:r>
          </w:p>
        </w:tc>
        <w:tc>
          <w:tcPr>
            <w:tcW w:w="16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 compensation expense</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13,450 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13,450 </w:t>
            </w:r>
          </w:p>
        </w:tc>
        <w:tc>
          <w:tcPr>
            <w:tcW w:w="16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Dilution</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(307)</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361 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54 </w:t>
            </w:r>
          </w:p>
        </w:tc>
        <w:tc>
          <w:tcPr>
            <w:tcW w:w="16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(47,935)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(47,935)</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(4,508)</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(52,443)</w:t>
            </w:r>
          </w:p>
        </w:tc>
        <w:tc>
          <w:tcPr>
            <w:tcW w:w="16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December 31, 2023</w:t>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104,575,110 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51,618,208 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555,133 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(338,065)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217,070 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5,353 </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222,423 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and exchange of equity</w:t>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16,498,104 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Series E preferred stock, net of issuance costs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7,325,385 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71,773 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71,774 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71,774 </w:t>
            </w:r>
          </w:p>
        </w:tc>
        <w:tc>
          <w:tcPr>
            <w:tcW w:w="16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preferred stock warrants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9,542 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9,542 </w:t>
            </w:r>
          </w:p>
        </w:tc>
        <w:tc>
          <w:tcPr>
            <w:tcW w:w="16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Common stock repurchase and retirement</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(186,054)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(1,001)</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(1,001)</w:t>
            </w:r>
          </w:p>
        </w:tc>
        <w:tc>
          <w:tcPr>
            <w:tcW w:w="16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Exercise of stock options and warrants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1,370,026 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3,037 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3,037 </w:t>
            </w:r>
          </w:p>
        </w:tc>
        <w:tc>
          <w:tcPr>
            <w:tcW w:w="16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 compensation expense</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38,726 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38,726 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38,726 </w:t>
            </w:r>
          </w:p>
        </w:tc>
        <w:tc>
          <w:tcPr>
            <w:tcW w:w="16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Noncontrolling interest investment in subsidiary</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290 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 &amp; redemptions of subsidiaries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(1,265)</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(1,332)</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Net income </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17,214 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2,701 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19,915 </w:t>
            </w:r>
          </w:p>
        </w:tc>
        <w:tc>
          <w:tcPr>
            <w:tcW w:w="16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December 31, 2024</w:t>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111,900,495 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69,300,284 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675,945 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(320,851)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355,098 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8,277 </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363,375 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Vesting of preferred stock warrants</w:t>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9,499 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9,499 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Exercise of stock options and warrants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2,010,410 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1,006,731 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1,238,709 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12,759 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12,759 </w:t>
            </w:r>
          </w:p>
        </w:tc>
        <w:tc>
          <w:tcPr>
            <w:tcW w:w="16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 compensation expense</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62,922 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62,922 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62,922 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293370"/>
                <wp:effectExtent l="0" t="0" r="0" b="0"/>
                <wp:wrapNone/>
                <wp:docPr id="129" name="Frame127"/>
                <a:graphic xmlns:a="http://schemas.openxmlformats.org/drawingml/2006/main">
                  <a:graphicData uri="http://schemas.microsoft.com/office/word/2010/wordprocessingShape">
                    <wps:wsp>
                      <wps:cNvSpPr txBox="1"/>
                      <wps:spPr>
                        <a:xfrm>
                          <a:off x="0" y="0"/>
                          <a:ext cx="6480175" cy="293370"/>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127</w:t>
                            </w:r>
                          </w:p>
                          <w:p>
                            <w:pPr>
                              <w:pStyle w:val="TextBody"/>
                              <w:bidi w:val="0"/>
                              <w:spacing w:lineRule="auto" w:line="288" w:before="0" w:after="180"/>
                              <w:jc w:val="left"/>
                              <w:rPr/>
                            </w:pPr>
                            <w:hyperlink w:anchor="i8e13d1b6f3764394b0e424082d2ac79f_151">
                              <w:r>
                                <w:rPr>
                                  <w:rStyle w:val="InternetLink"/>
                                  <w:rFonts w:ascii="Times New Roman;serif" w:hAnsi="Times New Roman;serif"/>
                                  <w:b w:val="false"/>
                                  <w:color w:val="0000FF"/>
                                  <w:sz w:val="20"/>
                                  <w:u w:val="single"/>
                                </w:rPr>
                                <w:t>Table of Contents</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127</w:t>
                      </w:r>
                    </w:p>
                    <w:p>
                      <w:pPr>
                        <w:pStyle w:val="TextBody"/>
                        <w:bidi w:val="0"/>
                        <w:spacing w:lineRule="auto" w:line="288" w:before="0" w:after="180"/>
                        <w:jc w:val="left"/>
                        <w:rPr/>
                      </w:pPr>
                      <w:hyperlink w:anchor="i8e13d1b6f3764394b0e424082d2ac79f_151">
                        <w:r>
                          <w:rPr>
                            <w:rStyle w:val="InternetLink"/>
                            <w:rFonts w:ascii="Times New Roman;serif" w:hAnsi="Times New Roman;serif"/>
                            <w:b w:val="false"/>
                            <w:color w:val="0000FF"/>
                            <w:sz w:val="20"/>
                            <w:u w:val="single"/>
                          </w:rPr>
                          <w:t>Table of Contents</w:t>
                        </w:r>
                      </w:hyperlink>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FIGURE TECHNOLOGY SOLUTIONS,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STOCKHOLDERS'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p>
      <w:pPr>
        <w:pStyle w:val="TextBody"/>
        <w:bidi w:val="0"/>
        <w:spacing w:before="0" w:after="0"/>
        <w:jc w:val="left"/>
        <w:rPr/>
      </w:pPr>
      <w:r>
        <w:rPr/>
      </w:r>
    </w:p>
    <w:tbl>
      <w:tblPr>
        <w:tblW w:w="13740" w:type="dxa"/>
        <w:jc w:val="center"/>
        <w:tblInd w:w="0" w:type="dxa"/>
        <w:tblLayout w:type="fixed"/>
        <w:tblCellMar>
          <w:top w:w="28" w:type="dxa"/>
          <w:left w:w="28" w:type="dxa"/>
          <w:bottom w:w="28" w:type="dxa"/>
          <w:right w:w="28" w:type="dxa"/>
        </w:tblCellMar>
      </w:tblPr>
      <w:tblGrid>
        <w:gridCol w:w="419"/>
        <w:gridCol w:w="368"/>
        <w:gridCol w:w="369"/>
        <w:gridCol w:w="533"/>
        <w:gridCol w:w="533"/>
        <w:gridCol w:w="109"/>
        <w:gridCol w:w="196"/>
        <w:gridCol w:w="406"/>
        <w:gridCol w:w="109"/>
        <w:gridCol w:w="488"/>
        <w:gridCol w:w="488"/>
        <w:gridCol w:w="109"/>
        <w:gridCol w:w="196"/>
        <w:gridCol w:w="406"/>
        <w:gridCol w:w="109"/>
        <w:gridCol w:w="523"/>
        <w:gridCol w:w="528"/>
        <w:gridCol w:w="109"/>
        <w:gridCol w:w="196"/>
        <w:gridCol w:w="331"/>
        <w:gridCol w:w="109"/>
        <w:gridCol w:w="480"/>
        <w:gridCol w:w="481"/>
        <w:gridCol w:w="109"/>
        <w:gridCol w:w="196"/>
        <w:gridCol w:w="241"/>
        <w:gridCol w:w="109"/>
        <w:gridCol w:w="196"/>
        <w:gridCol w:w="871"/>
        <w:gridCol w:w="109"/>
        <w:gridCol w:w="196"/>
        <w:gridCol w:w="751"/>
        <w:gridCol w:w="109"/>
        <w:gridCol w:w="196"/>
        <w:gridCol w:w="871"/>
        <w:gridCol w:w="109"/>
        <w:gridCol w:w="196"/>
        <w:gridCol w:w="556"/>
        <w:gridCol w:w="109"/>
        <w:gridCol w:w="196"/>
        <w:gridCol w:w="871"/>
        <w:gridCol w:w="154"/>
      </w:tblGrid>
      <w:tr>
        <w:trPr/>
        <w:tc>
          <w:tcPr>
            <w:tcW w:w="41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 &amp; redemptions of subsidiaries</w:t>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(436)</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equity contributions</w:t>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Settlement of restricted stock units</w:t>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2,690,220 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and conversion of common stock in connection with initial public offering, net of offering costs and commissions</w:t>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(70,307,015)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98,538,620 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654,682 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654,690 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654,690 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Conversion of convertible preferred stock to common stock in connection with initial public offering</w:t>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(113,910,905)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113,910,905 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Conversion of Class A Common Stock to Class B Common Stock</w:t>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(37,893,047)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37,893,047 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133,858 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133,858 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134,281 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December 31, 2025</w:t>
            </w:r>
          </w:p>
        </w:tc>
        <w:tc>
          <w:tcPr>
            <w:tcW w:w="10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178,485,407 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37,893,047 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1,415,804 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(186,993)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1,228,834 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8,364 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1,237,198 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293370"/>
                <wp:effectExtent l="0" t="0" r="0" b="0"/>
                <wp:wrapNone/>
                <wp:docPr id="130" name="Frame128"/>
                <a:graphic xmlns:a="http://schemas.openxmlformats.org/drawingml/2006/main">
                  <a:graphicData uri="http://schemas.microsoft.com/office/word/2010/wordprocessingShape">
                    <wps:wsp>
                      <wps:cNvSpPr txBox="1"/>
                      <wps:spPr>
                        <a:xfrm>
                          <a:off x="0" y="0"/>
                          <a:ext cx="6480175" cy="293370"/>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128</w:t>
                            </w:r>
                          </w:p>
                          <w:p>
                            <w:pPr>
                              <w:pStyle w:val="TextBody"/>
                              <w:bidi w:val="0"/>
                              <w:spacing w:lineRule="auto" w:line="288" w:before="0" w:after="180"/>
                              <w:jc w:val="left"/>
                              <w:rPr/>
                            </w:pPr>
                            <w:hyperlink w:anchor="i8e13d1b6f3764394b0e424082d2ac79f_151">
                              <w:r>
                                <w:rPr>
                                  <w:rStyle w:val="InternetLink"/>
                                  <w:rFonts w:ascii="Times New Roman;serif" w:hAnsi="Times New Roman;serif"/>
                                  <w:b w:val="false"/>
                                  <w:color w:val="0000FF"/>
                                  <w:sz w:val="20"/>
                                  <w:u w:val="single"/>
                                </w:rPr>
                                <w:t>Table of Contents</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128</w:t>
                      </w:r>
                    </w:p>
                    <w:p>
                      <w:pPr>
                        <w:pStyle w:val="TextBody"/>
                        <w:bidi w:val="0"/>
                        <w:spacing w:lineRule="auto" w:line="288" w:before="0" w:after="180"/>
                        <w:jc w:val="left"/>
                        <w:rPr/>
                      </w:pPr>
                      <w:hyperlink w:anchor="i8e13d1b6f3764394b0e424082d2ac79f_151">
                        <w:r>
                          <w:rPr>
                            <w:rStyle w:val="InternetLink"/>
                            <w:rFonts w:ascii="Times New Roman;serif" w:hAnsi="Times New Roman;serif"/>
                            <w:b w:val="false"/>
                            <w:color w:val="0000FF"/>
                            <w:sz w:val="20"/>
                            <w:u w:val="single"/>
                          </w:rPr>
                          <w:t>Table of Contents</w:t>
                        </w:r>
                      </w:hyperlink>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FIGURE TECHNOLOGY SOLUTIONS,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tbl>
      <w:tblPr>
        <w:tblW w:w="10205" w:type="dxa"/>
        <w:jc w:val="left"/>
        <w:tblInd w:w="0" w:type="dxa"/>
        <w:tblLayout w:type="fixed"/>
        <w:tblCellMar>
          <w:top w:w="28" w:type="dxa"/>
          <w:left w:w="28" w:type="dxa"/>
          <w:bottom w:w="28" w:type="dxa"/>
          <w:right w:w="28" w:type="dxa"/>
        </w:tblCellMar>
      </w:tblPr>
      <w:tblGrid>
        <w:gridCol w:w="2322"/>
        <w:gridCol w:w="1950"/>
        <w:gridCol w:w="1958"/>
        <w:gridCol w:w="196"/>
        <w:gridCol w:w="871"/>
        <w:gridCol w:w="109"/>
        <w:gridCol w:w="109"/>
        <w:gridCol w:w="109"/>
        <w:gridCol w:w="109"/>
        <w:gridCol w:w="197"/>
        <w:gridCol w:w="742"/>
        <w:gridCol w:w="109"/>
        <w:gridCol w:w="109"/>
        <w:gridCol w:w="109"/>
        <w:gridCol w:w="109"/>
        <w:gridCol w:w="197"/>
        <w:gridCol w:w="742"/>
        <w:gridCol w:w="158"/>
      </w:tblGrid>
      <w:tr>
        <w:trPr/>
        <w:tc>
          <w:tcPr>
            <w:tcW w:w="2322" w:type="dxa"/>
            <w:tcBorders/>
            <w:vAlign w:val="center"/>
          </w:tcPr>
          <w:p>
            <w:pPr>
              <w:pStyle w:val="TableContents"/>
              <w:bidi w:val="0"/>
              <w:spacing w:before="0" w:after="283"/>
              <w:jc w:val="left"/>
              <w:rPr>
                <w:sz w:val="4"/>
                <w:szCs w:val="4"/>
              </w:rPr>
            </w:pPr>
            <w:r>
              <w:rPr>
                <w:sz w:val="4"/>
                <w:szCs w:val="4"/>
              </w:rPr>
            </w:r>
          </w:p>
        </w:tc>
        <w:tc>
          <w:tcPr>
            <w:tcW w:w="1950" w:type="dxa"/>
            <w:tcBorders/>
            <w:vAlign w:val="center"/>
          </w:tcPr>
          <w:p>
            <w:pPr>
              <w:pStyle w:val="TableContents"/>
              <w:bidi w:val="0"/>
              <w:spacing w:before="0" w:after="283"/>
              <w:jc w:val="left"/>
              <w:rPr>
                <w:sz w:val="4"/>
                <w:szCs w:val="4"/>
              </w:rPr>
            </w:pPr>
            <w:r>
              <w:rPr>
                <w:sz w:val="4"/>
                <w:szCs w:val="4"/>
              </w:rPr>
            </w:r>
          </w:p>
        </w:tc>
        <w:tc>
          <w:tcPr>
            <w:tcW w:w="195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6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5" w:type="dxa"/>
            <w:gridSpan w:val="15"/>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Years Ended December 31,</w:t>
            </w:r>
          </w:p>
        </w:tc>
      </w:tr>
      <w:tr>
        <w:trPr/>
        <w:tc>
          <w:tcPr>
            <w:tcW w:w="6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6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activities: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134,281 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(52,443)</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Adjustments to reconcile net income (loss) to net cash provided by (used in) operating activities: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Gain on servicing asset,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(24,567)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(32,637)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(22,083)</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Gain on sale of loans,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(173,732)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(140,353)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(50,343)</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Loss (gain) on sale of digital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(4,689)</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(loss) from fund and equity method investments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8,189 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deferred financing costs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330 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internally developed software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19,384 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Impairment of internally developed software costs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Impairment of digital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572 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asset impairment charge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Services exchanged for issuance of warrants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Noncash dissolution of subsidiary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402 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62,364 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38,726 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13,450 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Losses on repurchased loans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10,148 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income taxes,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(26,037)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change in operating assets and liabilities: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loan sales, net of repurchases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6,617,808 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4,666,503 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3,255,155 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Originations of loans held for sale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(3,620,890)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(3,164,966)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(1,981,195)</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loans held for sale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(3,269,400)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(1,974,701)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(1,541,757)</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Principal payments on loans held for sale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429,151 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422,910 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315,274 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r>
      <w:tr>
        <w:trPr/>
        <w:tc>
          <w:tcPr>
            <w:tcW w:w="623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r>
      <w:tr>
        <w:trPr/>
        <w:tc>
          <w:tcPr>
            <w:tcW w:w="623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6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receivable,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(33,042)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(7,102)</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(28,097)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7,741 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 and other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(38,930)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(4,385)</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6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(used in) operating activities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62,568 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(127,012)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(33,352)</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Investing activities: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Capitalization of internally developed software costs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(17,262)</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Investment contributions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digital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(817)</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sales of digital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Note receivable issued to related parties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(4,028)</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Payment on note receivable from related parties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Realized losses on futures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marketable securities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(102,174)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(25,222)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sale of marketable securities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602 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Principal payments on marketable securities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63,907 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3,882 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investing activities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used in investing activities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(61,275)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(37,445)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(17,623)</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Financing activities:</w:t>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Proceeds from debt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5,886,495 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4,623,817 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2,781,230 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6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debt, related party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Principal payments on debt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(5,953,760)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(4,438,785)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(2,768,598)</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Principal payments on debt, related party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(10,000)</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Payments of deferred financing costs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(616)</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issuance of common stock in connection with initial public offering, net of underwriting discounts and commissions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663,443 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servicing activity on behalf of third-party loan owners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167,202 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81,881 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52,974 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Fees paid in connection with the initial public offering</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Proceeds from issuance of preferred stock</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71,775 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r>
      <w:tr>
        <w:trPr/>
        <w:tc>
          <w:tcPr>
            <w:tcW w:w="623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r>
      <w:tr>
        <w:trPr/>
        <w:tc>
          <w:tcPr>
            <w:tcW w:w="623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r>
      <w:tr>
        <w:trPr/>
        <w:tc>
          <w:tcPr>
            <w:tcW w:w="623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6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Distributions to shareholders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r>
      <w:tr>
        <w:trPr/>
        <w:tc>
          <w:tcPr>
            <w:tcW w:w="623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r>
      <w:tr>
        <w:trPr/>
        <w:tc>
          <w:tcPr>
            <w:tcW w:w="623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6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Common stock repurchase and retirement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exercises of stock options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1,143 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financing activities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(345)</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Net cash provided by financing activities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918,038 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336,124 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65,788 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increase in cash, cash equivalents, and restricted cash</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919,331 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171,667 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14,813 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Cash, cash equivalents, and restricted cash, beginning of period</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347,447 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175,780 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160,967 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cash equivalents, and restricted cash, end of period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1,266,778 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347,447 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175,780 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Supplemental cash flow disclosure:</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Cash paid during the period for interest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49,892 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44,833 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Cash paid during the period for income taxes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Non-cash investing and financing activities: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Non-cash principal payments on debt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Non-cash principal payments on debt, related parties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Receipt of liquidity pool tokens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Sale of liquidity pool tokens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Related party debt issued at receipt of liquidity pool tokens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Loan to related party settlement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Right of use assets obtained in exchange for operating lease liabilities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Unrealized losses on futures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Distributions from Onshore Solana Fund</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included in capitalized internally developed software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Marketable securities retained in securitization transactions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(54,874)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(116,335)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(42,061)</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Transfers from held for investment to held for sale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58,835 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53,241 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non-cash investing and financing activities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399 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Contribution from related party</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capital contributions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capital charges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Transfers from held for sale to held for investment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22,279 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293370"/>
                <wp:effectExtent l="0" t="0" r="0" b="0"/>
                <wp:wrapNone/>
                <wp:docPr id="131" name="Frame129"/>
                <a:graphic xmlns:a="http://schemas.openxmlformats.org/drawingml/2006/main">
                  <a:graphicData uri="http://schemas.microsoft.com/office/word/2010/wordprocessingShape">
                    <wps:wsp>
                      <wps:cNvSpPr txBox="1"/>
                      <wps:spPr>
                        <a:xfrm>
                          <a:off x="0" y="0"/>
                          <a:ext cx="6480175" cy="293370"/>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129</w:t>
                            </w:r>
                          </w:p>
                          <w:p>
                            <w:pPr>
                              <w:pStyle w:val="TextBody"/>
                              <w:bidi w:val="0"/>
                              <w:spacing w:lineRule="auto" w:line="288" w:before="0" w:after="180"/>
                              <w:jc w:val="left"/>
                              <w:rPr/>
                            </w:pPr>
                            <w:hyperlink w:anchor="i8e13d1b6f3764394b0e424082d2ac79f_151">
                              <w:r>
                                <w:rPr>
                                  <w:rStyle w:val="InternetLink"/>
                                  <w:rFonts w:ascii="Times New Roman;serif" w:hAnsi="Times New Roman;serif"/>
                                  <w:b w:val="false"/>
                                  <w:color w:val="0000FF"/>
                                  <w:sz w:val="20"/>
                                  <w:u w:val="single"/>
                                </w:rPr>
                                <w:t>Table of Contents</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129</w:t>
                      </w:r>
                    </w:p>
                    <w:p>
                      <w:pPr>
                        <w:pStyle w:val="TextBody"/>
                        <w:bidi w:val="0"/>
                        <w:spacing w:lineRule="auto" w:line="288" w:before="0" w:after="180"/>
                        <w:jc w:val="left"/>
                        <w:rPr/>
                      </w:pPr>
                      <w:hyperlink w:anchor="i8e13d1b6f3764394b0e424082d2ac79f_151">
                        <w:r>
                          <w:rPr>
                            <w:rStyle w:val="InternetLink"/>
                            <w:rFonts w:ascii="Times New Roman;serif" w:hAnsi="Times New Roman;serif"/>
                            <w:b w:val="false"/>
                            <w:color w:val="0000FF"/>
                            <w:sz w:val="20"/>
                            <w:u w:val="single"/>
                          </w:rPr>
                          <w:t>Table of Contents</w:t>
                        </w:r>
                      </w:hyperlink>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FIGURE TECHNOLOGY SOLUTIONS,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tables in thousands, except share and per share data, units, ratios or as otherwise noted)</w:t>
      </w:r>
    </w:p>
    <w:p>
      <w:pPr>
        <w:pStyle w:val="TextBody"/>
        <w:bidi w:val="0"/>
        <w:spacing w:before="0" w:after="18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pPr>
      <w:r>
        <w:rPr>
          <w:rFonts w:ascii="Times New Roman;serif" w:hAnsi="Times New Roman;serif"/>
          <w:b/>
          <w:color w:val="000000"/>
          <w:sz w:val="20"/>
        </w:rPr>
        <w:t xml:space="preserve">NOTE 1 </w:t>
      </w:r>
      <w:r>
        <w:rPr>
          <w:color w:val="000000"/>
        </w:rPr>
        <w:t xml:space="preserve">– </w:t>
      </w:r>
      <w:r>
        <w:rPr>
          <w:rFonts w:ascii="Times New Roman;serif" w:hAnsi="Times New Roman;serif"/>
          <w:b/>
          <w:color w:val="000000"/>
          <w:sz w:val="20"/>
        </w:rPr>
        <w:t>BUSINESS AND ORGANIZATION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Figure Technology Solutions, Inc. (“FTS”, “Figure”, or the “Company”) is a financial technology company that has built a suite of blockchain-based products and solutions centered around the vision of promoting efficiency and liquidity in financial markets. The Company offers a technology-enabled loan origination system and pairs this system with a distribution marketplace, Figure Connect, providing access to a deep and broad pool of capital markets partners (together, the “Technology Offering”). In addition, the Company has utilized blockchain technology to develop an exchange for digital assets and credit, with new product offerings including providing interest-bearing stablecoin deposits.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Reorganization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Prior to a change in corporate structure on March 18, 2024, the consolidated financial statements were under the former parent company, Figure Technologies, Inc. ("FT"). On March 18, 2024, FT, FT Intermediate, Inc. (“FTI”), and Figure Markets Holdings, Inc. (“FMH”) and other entities under common control consummated a reorganization (the “Reorganization”) whereby FT contributed assets and liabilities to FTI and subsequently, FT consummated a reverse merger with a subsidiary of FTI. Each outstanding share of common stock of FT converted into one share of common stock of FTI, whereby FTI (a) contributed assets and liabilities applicable to the FMH business and (b) 100% of the equity interest to FT's successor. FT then ratably distributed 74.1% of FMHs' common stock to third-party shareholders and 25.9% to related parties in exchange for their FTI common stock.</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a result of the Reorganization, there were two affiliated corporations under common control. Each of the following two corporations was owned either directly or indirectly by its controlling shareholder, Michael Cagney (“Controlling Party”):</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FTI was formed on March 18, 2024 as a Delaware corporation and primarily operates through its wholly-owned subsidiary, Figure Lending Corp. (“Lending”). Lending offers Figure Connect which generates ecosystem and technology fees, and originates, sells, and securitizes home equity line of credit (“HELOC”) loans that it services.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FMH was formed on January 25, 2024 as a Delaware corporation. FMH utilized blockchain technology to develop an exchange for digital assets and credit, with new product offerings including providing interest-bearing stablecoin deposits.</w:t>
      </w:r>
    </w:p>
    <w:p>
      <w:pPr>
        <w:pStyle w:val="TextBody"/>
        <w:bidi w:val="0"/>
        <w:spacing w:lineRule="auto" w:line="288" w:before="0" w:after="180"/>
        <w:jc w:val="both"/>
        <w:rPr/>
      </w:pPr>
      <w:r>
        <w:rPr>
          <w:rFonts w:ascii="Times New Roman;serif" w:hAnsi="Times New Roman;serif"/>
          <w:b w:val="false"/>
          <w:color w:val="000000"/>
          <w:sz w:val="20"/>
          <w:shd w:fill="FFFFFF" w:val="clear"/>
        </w:rPr>
        <w:t xml:space="preserve">In May 2025, both </w:t>
      </w:r>
      <w:r>
        <w:rPr>
          <w:rFonts w:ascii="Times New Roman;serif" w:hAnsi="Times New Roman;serif"/>
          <w:b w:val="false"/>
          <w:color w:val="000000"/>
          <w:sz w:val="20"/>
        </w:rPr>
        <w:t>FTI</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FMH</w:t>
      </w:r>
      <w:r>
        <w:rPr>
          <w:color w:val="000000"/>
          <w:shd w:fill="FFFFFF" w:val="clear"/>
        </w:rPr>
        <w:t xml:space="preserve"> </w:t>
      </w:r>
      <w:r>
        <w:rPr>
          <w:rFonts w:ascii="Times New Roman;serif" w:hAnsi="Times New Roman;serif"/>
          <w:b w:val="false"/>
          <w:color w:val="000000"/>
          <w:sz w:val="20"/>
          <w:shd w:fill="FFFFFF" w:val="clear"/>
        </w:rPr>
        <w:t>redomiciled from the State of Delaware to the State of Nevada.</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Recombination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On August 29, 2025 (“Recombination Date”), FTI and FMH recombined the businesses through a series of transactions (the “Recombination”) and FMH became a wholly-owned subsidiary of FTI. Approximately five outstanding shares of FMH common or preferred stock, options, or warrants converted into one share of common or preferred stock, options, or warrants of FTI (“Conversion Rate”). Upon the consummation of the Recombination, FTI changed its name to Figure Technology Solutions, Inc. (“FTS”).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Recombination was a reorganization of entities under common control as FTI and FMH were owned, either directly or indirectly, by the Controlling Party before and after the Recombination. As a result, the Recombination is accounted for in a manner similar to a pooling of interests with the assets and liabilities of the parties to the Recombination carried over at their historical amounts. Therefore, the accompanying Consolidated Financial Statements have been retrospectively recast to reflect the results as if FTI and FMH were a single consolidated entity as of the earliest period presented.</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Initial Public Offering (“IPO”)</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On September 12, 2025, the Company completed its IPO of 36,225,000 shares of its Class A common stock, including 7,993,395 shares sold by selling stockholders and 4,725,000 sold by the Company pursuant to the exercise of the underwriters’ over-allotment option which was exercised in full, at a public offering price of $25.00 per share. The IPO resulted in net proceeds to the Company of $663.4 million after deducting the underwriting discounts and commissions and before deducting offering costs of $8.8 million, which were charged to additional paid-in capital as a reduction of the net proceeds received from the IPO.</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IPO, all shares of outstanding convertible preferred stock, including 2,010,410 shares of Series E preferred stock issued upon the exercise of outstanding warrants, automatically converted to 113,910,905 shares of Class A common stock, and a total of 39,393,047 shares of our Class A common stock held by the Controlling Party and his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293370"/>
                <wp:effectExtent l="0" t="0" r="0" b="0"/>
                <wp:wrapNone/>
                <wp:docPr id="132" name="Frame130"/>
                <a:graphic xmlns:a="http://schemas.openxmlformats.org/drawingml/2006/main">
                  <a:graphicData uri="http://schemas.microsoft.com/office/word/2010/wordprocessingShape">
                    <wps:wsp>
                      <wps:cNvSpPr txBox="1"/>
                      <wps:spPr>
                        <a:xfrm>
                          <a:off x="0" y="0"/>
                          <a:ext cx="6480175" cy="293370"/>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130</w:t>
                            </w:r>
                          </w:p>
                          <w:p>
                            <w:pPr>
                              <w:pStyle w:val="TextBody"/>
                              <w:bidi w:val="0"/>
                              <w:spacing w:lineRule="auto" w:line="288" w:before="0" w:after="180"/>
                              <w:jc w:val="left"/>
                              <w:rPr/>
                            </w:pPr>
                            <w:hyperlink w:anchor="i8e13d1b6f3764394b0e424082d2ac79f_151">
                              <w:r>
                                <w:rPr>
                                  <w:rStyle w:val="InternetLink"/>
                                  <w:rFonts w:ascii="Times New Roman;serif" w:hAnsi="Times New Roman;serif"/>
                                  <w:b w:val="false"/>
                                  <w:color w:val="0000FF"/>
                                  <w:sz w:val="20"/>
                                  <w:u w:val="single"/>
                                </w:rPr>
                                <w:t>Table of Contents</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130</w:t>
                      </w:r>
                    </w:p>
                    <w:p>
                      <w:pPr>
                        <w:pStyle w:val="TextBody"/>
                        <w:bidi w:val="0"/>
                        <w:spacing w:lineRule="auto" w:line="288" w:before="0" w:after="180"/>
                        <w:jc w:val="left"/>
                        <w:rPr/>
                      </w:pPr>
                      <w:hyperlink w:anchor="i8e13d1b6f3764394b0e424082d2ac79f_151">
                        <w:r>
                          <w:rPr>
                            <w:rStyle w:val="InternetLink"/>
                            <w:rFonts w:ascii="Times New Roman;serif" w:hAnsi="Times New Roman;serif"/>
                            <w:b w:val="false"/>
                            <w:color w:val="0000FF"/>
                            <w:sz w:val="20"/>
                            <w:u w:val="single"/>
                          </w:rPr>
                          <w:t>Table of Contents</w:t>
                        </w:r>
                      </w:hyperlink>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FIGURE TECHNOLOGY SOLUTIONS,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tables in thousands, except share and per share data, units, ratios or as otherwise noted)</w:t>
      </w:r>
    </w:p>
    <w:p>
      <w:pPr>
        <w:pStyle w:val="TextBody"/>
        <w:bidi w:val="0"/>
        <w:spacing w:before="0" w:after="180"/>
        <w:jc w:val="center"/>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permitted transferees were converted into an equivalent number of shares of Class B common stock, of which 1,500,000 shares were subsequently converted back to Class A and sold in connection with the IPO.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connection with the IPO, the Company filed its Second Amended and Restated Certificate of Incorporation (the “Charter”), which authorizes a total of 1,000,000,000 shares of Class A common stock, par value $0.0001 (“Class A Common Stock”), 200,000,000 shares of Class B common stock, par value, $0.0001 (“Class B Common Stock”), 500,000,000 shares of Blockchain common stock, par value, $0.0001 (“Blockchain Common Stock”), and 100,000,000 shares of preferred stock, par value $0.0001 (“Preferred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NOTE 2 – SUMMARY OF SIGNIFICANT ACCOUNTING POLICIES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Basis of Presentation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accompanying Consolidated Financial Statements have been prepared in accordance with accounting principles generally accepted in the United States (“GAAP”). The financial statements for the years ended December 31, 2025, 2024 and 2023 reflect the recast consolidated statements of FTS to give effect to the Recombination of entities under common control to the earliest period presented. The Consolidated Financial Statements include the accounts of the Company and the combined wholly-owned subsidiaries over which the Company controls significant operating, financial, and investing decisions of the entity as well as those entities deemed to be variable interest entities (“VIEs”) in which the Company is determined to have a controlling financial interest. In the opinion of management, all adjustments considered necessary for a fair presentation of the Company’s financial position, results of operations, and cash flows have been included and are of a normal and recurring nature. All intercompany balances and transactions have been eliminated.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Change in Accounting Principle</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Accounting for payment stablecoins</w:t>
      </w:r>
    </w:p>
    <w:p>
      <w:pPr>
        <w:pStyle w:val="TextBody"/>
        <w:bidi w:val="0"/>
        <w:spacing w:lineRule="auto" w:line="288" w:before="0" w:after="180"/>
        <w:jc w:val="both"/>
        <w:rPr/>
      </w:pPr>
      <w:r>
        <w:rPr>
          <w:rFonts w:ascii="Times New Roman;serif" w:hAnsi="Times New Roman;serif"/>
          <w:b w:val="false"/>
          <w:color w:val="000000"/>
          <w:sz w:val="20"/>
        </w:rPr>
        <w:t xml:space="preserve">Effective December 31, 2025, the Company voluntarily elected to change its method of accounting for payment stablecoins to classify them as cash equivalents. The Company believes the reclassification of payment stablecoins to cash equivalents is preferable because it better reflects their economic substance and the manner in which it is utilized by the Company. Payment stablecoins are readily convertible to known amounts of cash, allowing for near-instant, one-to-one redemption of the payment stablecoins for U.S. dollars. Furthermore, the underlying reserves backing payment stablecoins, comprising cash in segregated accounts titled for benefit of payment stablecoin holders and a government money market fund that holds cash, short-duration U.S. Treasuries, and overnight U.S. Treasury repurchase agreements, exhibit the risk and liquidity characteristics of cash equivalents as defined in ASC 230, </w:t>
      </w:r>
      <w:r>
        <w:rPr>
          <w:rFonts w:ascii="Times New Roman;serif" w:hAnsi="Times New Roman;serif"/>
          <w:b w:val="false"/>
          <w:i/>
          <w:color w:val="000000"/>
          <w:sz w:val="20"/>
        </w:rPr>
        <w:t>Statement of Cash Flows</w:t>
      </w:r>
      <w:r>
        <w:rPr>
          <w:rFonts w:ascii="Times New Roman;serif" w:hAnsi="Times New Roman;serif"/>
          <w:b w:val="false"/>
          <w:color w:val="000000"/>
          <w:sz w:val="20"/>
        </w:rPr>
        <w: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This change in accounting principle has been applied retrospectively to all periods presented, including in the Consolidated Balance Sheets and Consolidated Statements of Cash Flows and had no effect on previously reported total assets, total liabilities, equity, net income, or earnings per share for any period presented.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impact to the Consolidated Balance Sheets as a result of this change to the prior period:</w:t>
      </w:r>
    </w:p>
    <w:tbl>
      <w:tblPr>
        <w:tblW w:w="5917" w:type="dxa"/>
        <w:jc w:val="left"/>
        <w:tblInd w:w="0" w:type="dxa"/>
        <w:tblLayout w:type="fixed"/>
        <w:tblCellMar>
          <w:top w:w="28" w:type="dxa"/>
          <w:left w:w="28" w:type="dxa"/>
          <w:bottom w:w="28" w:type="dxa"/>
          <w:right w:w="28" w:type="dxa"/>
        </w:tblCellMar>
      </w:tblPr>
      <w:tblGrid>
        <w:gridCol w:w="695"/>
        <w:gridCol w:w="611"/>
        <w:gridCol w:w="614"/>
        <w:gridCol w:w="196"/>
        <w:gridCol w:w="871"/>
        <w:gridCol w:w="109"/>
        <w:gridCol w:w="109"/>
        <w:gridCol w:w="109"/>
        <w:gridCol w:w="109"/>
        <w:gridCol w:w="215"/>
        <w:gridCol w:w="610"/>
        <w:gridCol w:w="121"/>
        <w:gridCol w:w="109"/>
        <w:gridCol w:w="109"/>
        <w:gridCol w:w="109"/>
        <w:gridCol w:w="196"/>
        <w:gridCol w:w="871"/>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Reported</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Adjustment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Recast</w:t>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287,256 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2,414 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289,670 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Digital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77,862 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(2,414)</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75,448 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assets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1,159,578 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1,159,578 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impact to the Consolidated Statements of Cash Flows as a result of this change to the year ended December 31, 2024; there was no impact to the Consolidated Statements of Cash Flows beyond the line items shown below. There was no impact to the year ended December 31, 2023.</w:t>
      </w:r>
    </w:p>
    <w:tbl>
      <w:tblPr>
        <w:tblW w:w="6282" w:type="dxa"/>
        <w:jc w:val="left"/>
        <w:tblInd w:w="0" w:type="dxa"/>
        <w:tblLayout w:type="fixed"/>
        <w:tblCellMar>
          <w:top w:w="28" w:type="dxa"/>
          <w:left w:w="28" w:type="dxa"/>
          <w:bottom w:w="28" w:type="dxa"/>
          <w:right w:w="28" w:type="dxa"/>
        </w:tblCellMar>
      </w:tblPr>
      <w:tblGrid>
        <w:gridCol w:w="934"/>
        <w:gridCol w:w="822"/>
        <w:gridCol w:w="824"/>
        <w:gridCol w:w="196"/>
        <w:gridCol w:w="721"/>
        <w:gridCol w:w="109"/>
        <w:gridCol w:w="109"/>
        <w:gridCol w:w="109"/>
        <w:gridCol w:w="109"/>
        <w:gridCol w:w="196"/>
        <w:gridCol w:w="646"/>
        <w:gridCol w:w="109"/>
        <w:gridCol w:w="109"/>
        <w:gridCol w:w="109"/>
        <w:gridCol w:w="109"/>
        <w:gridCol w:w="196"/>
        <w:gridCol w:w="721"/>
        <w:gridCol w:w="154"/>
      </w:tblGrid>
      <w:tr>
        <w:trPr/>
        <w:tc>
          <w:tcPr>
            <w:tcW w:w="934"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 2024</w:t>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Reported</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Adjustment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Recast</w:t>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Investing activities:</w:t>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digital assets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(26,785)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(11,558)</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sales of digital assets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293370"/>
                <wp:effectExtent l="0" t="0" r="0" b="0"/>
                <wp:wrapNone/>
                <wp:docPr id="133" name="Frame131"/>
                <a:graphic xmlns:a="http://schemas.openxmlformats.org/drawingml/2006/main">
                  <a:graphicData uri="http://schemas.microsoft.com/office/word/2010/wordprocessingShape">
                    <wps:wsp>
                      <wps:cNvSpPr txBox="1"/>
                      <wps:spPr>
                        <a:xfrm>
                          <a:off x="0" y="0"/>
                          <a:ext cx="6480175" cy="293370"/>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131</w:t>
                            </w:r>
                          </w:p>
                          <w:p>
                            <w:pPr>
                              <w:pStyle w:val="TextBody"/>
                              <w:bidi w:val="0"/>
                              <w:spacing w:lineRule="auto" w:line="288" w:before="0" w:after="180"/>
                              <w:jc w:val="left"/>
                              <w:rPr/>
                            </w:pPr>
                            <w:hyperlink w:anchor="i8e13d1b6f3764394b0e424082d2ac79f_151">
                              <w:r>
                                <w:rPr>
                                  <w:rStyle w:val="InternetLink"/>
                                  <w:rFonts w:ascii="Times New Roman;serif" w:hAnsi="Times New Roman;serif"/>
                                  <w:b w:val="false"/>
                                  <w:color w:val="0000FF"/>
                                  <w:sz w:val="20"/>
                                  <w:u w:val="single"/>
                                </w:rPr>
                                <w:t>Table of Contents</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131</w:t>
                      </w:r>
                    </w:p>
                    <w:p>
                      <w:pPr>
                        <w:pStyle w:val="TextBody"/>
                        <w:bidi w:val="0"/>
                        <w:spacing w:lineRule="auto" w:line="288" w:before="0" w:after="180"/>
                        <w:jc w:val="left"/>
                        <w:rPr/>
                      </w:pPr>
                      <w:hyperlink w:anchor="i8e13d1b6f3764394b0e424082d2ac79f_151">
                        <w:r>
                          <w:rPr>
                            <w:rStyle w:val="InternetLink"/>
                            <w:rFonts w:ascii="Times New Roman;serif" w:hAnsi="Times New Roman;serif"/>
                            <w:b w:val="false"/>
                            <w:color w:val="0000FF"/>
                            <w:sz w:val="20"/>
                            <w:u w:val="single"/>
                          </w:rPr>
                          <w:t>Table of Contents</w:t>
                        </w:r>
                      </w:hyperlink>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FIGURE TECHNOLOGY SOLUTIONS,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tables in thousands, except share and per share data, units, ratios or as otherwise noted)</w:t>
      </w:r>
    </w:p>
    <w:p>
      <w:pPr>
        <w:pStyle w:val="TextBody"/>
        <w:bidi w:val="0"/>
        <w:spacing w:before="0" w:after="180"/>
        <w:jc w:val="center"/>
        <w:rPr/>
      </w:pPr>
      <w:r>
        <w:rPr/>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Change in Statement of Cash Flow Presentation Related to Retained Beneficial Interests in Loan Securitizations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previously presented certain retained beneficial interests in loan securitization transactions within “Net cash provided by (used in) operating activities” on the Consolidated Statements of Cash Flows. The Company originates loans and sells or transfers loans into securitization vehicles while retaining beneficial interests. When the Company contributes loans to the securitization, it generally does not result in the receipt or payment of cash by the Company at the time of securitization.</w:t>
      </w:r>
    </w:p>
    <w:p>
      <w:pPr>
        <w:pStyle w:val="TextBody"/>
        <w:bidi w:val="0"/>
        <w:spacing w:lineRule="auto" w:line="288" w:before="0" w:after="180"/>
        <w:jc w:val="both"/>
        <w:rPr/>
      </w:pPr>
      <w:r>
        <w:rPr>
          <w:rFonts w:ascii="Times New Roman;serif" w:hAnsi="Times New Roman;serif"/>
          <w:b w:val="false"/>
          <w:color w:val="000000"/>
          <w:sz w:val="20"/>
        </w:rPr>
        <w:t xml:space="preserve">Upon further assessment, the Company determined that the transfer of loans in securitization transactions and the related retention of beneficial interests should be disclosed as non-cash investing activities in accordance with ASC 230, </w:t>
      </w:r>
      <w:r>
        <w:rPr>
          <w:rFonts w:ascii="Times New Roman;serif" w:hAnsi="Times New Roman;serif"/>
          <w:b w:val="false"/>
          <w:i/>
          <w:color w:val="000000"/>
          <w:sz w:val="20"/>
        </w:rPr>
        <w:t>Statement of Cash Flows</w:t>
      </w:r>
      <w:r>
        <w:rPr>
          <w:rFonts w:ascii="Times New Roman;serif" w:hAnsi="Times New Roman;serif"/>
          <w:b w:val="false"/>
          <w:color w:val="000000"/>
          <w:sz w:val="20"/>
        </w:rPr>
        <w:t>. As a result, the Company corrected the presentation by removing the non-cash securitization activity from operating cash flows for the periods presented in these Consolidated Financial Statements. Additionally, the cash activity related to the purchases and sales of loans in securitization transactions has been reclassified from operating cash flows to investing cash flows for the periods presented in these Consolidated Financial Statements.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correction did not impact the Company’s consolidated statements of operations, consolidated balance sheets, total cash, cash equivalents, or restricted cash. The correction represents a presentation reclassification only in the Consolidated Statements of Cash Flows.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evaluated the materiality of this correction and concluded that it was not material to previously issued financial statements. Accordingly, the Company has revised the comparative cash flow presentation to reflect the corrected presentation. The non-cash securitization activity will be disclosed as a non-cash investing activity within the supplemental cash flow disclosures and the cash securitization activity will be disclosed as investing cash flows.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impact to the Consolidated Statements of Cash Flows as a result of the correction for the years ended December 31, 2024 and 2023; there was no impact to the Consolidated Statements of Cash Flows beyond the line items shown below.</w:t>
      </w:r>
    </w:p>
    <w:tbl>
      <w:tblPr>
        <w:tblW w:w="10205" w:type="dxa"/>
        <w:jc w:val="left"/>
        <w:tblInd w:w="0" w:type="dxa"/>
        <w:tblLayout w:type="fixed"/>
        <w:tblCellMar>
          <w:top w:w="28" w:type="dxa"/>
          <w:left w:w="28" w:type="dxa"/>
          <w:bottom w:w="28" w:type="dxa"/>
          <w:right w:w="28" w:type="dxa"/>
        </w:tblCellMar>
      </w:tblPr>
      <w:tblGrid>
        <w:gridCol w:w="752"/>
        <w:gridCol w:w="508"/>
        <w:gridCol w:w="510"/>
        <w:gridCol w:w="196"/>
        <w:gridCol w:w="871"/>
        <w:gridCol w:w="109"/>
        <w:gridCol w:w="109"/>
        <w:gridCol w:w="109"/>
        <w:gridCol w:w="109"/>
        <w:gridCol w:w="196"/>
        <w:gridCol w:w="765"/>
        <w:gridCol w:w="109"/>
        <w:gridCol w:w="109"/>
        <w:gridCol w:w="109"/>
        <w:gridCol w:w="109"/>
        <w:gridCol w:w="196"/>
        <w:gridCol w:w="871"/>
        <w:gridCol w:w="109"/>
        <w:gridCol w:w="109"/>
        <w:gridCol w:w="109"/>
        <w:gridCol w:w="109"/>
        <w:gridCol w:w="196"/>
        <w:gridCol w:w="871"/>
        <w:gridCol w:w="109"/>
        <w:gridCol w:w="109"/>
        <w:gridCol w:w="109"/>
        <w:gridCol w:w="109"/>
        <w:gridCol w:w="196"/>
        <w:gridCol w:w="675"/>
        <w:gridCol w:w="109"/>
        <w:gridCol w:w="109"/>
        <w:gridCol w:w="109"/>
        <w:gridCol w:w="109"/>
        <w:gridCol w:w="196"/>
        <w:gridCol w:w="871"/>
        <w:gridCol w:w="155"/>
      </w:tblGrid>
      <w:tr>
        <w:trPr/>
        <w:tc>
          <w:tcPr>
            <w:tcW w:w="752"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 2023</w:t>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Reported</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Adjustment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Corrected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Reported</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Adjustment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As Corrected</w:t>
            </w:r>
          </w:p>
        </w:tc>
      </w:tr>
      <w:tr>
        <w:trPr/>
        <w:tc>
          <w:tcPr>
            <w:tcW w:w="1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activities: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loan sales, net of repurchases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4,782,838 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(116,335)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4,666,503 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3,297,216 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(42,061)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3,255,155 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marketable securities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(141,557)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141,557 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(42,061)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42,061 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sale of marketable securities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Principal payments on marketable securities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(used in) operating activities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(136,015)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(127,012)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(28,868)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(4,484)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(33,352)</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Investing activities: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marketable securities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(25,222)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(25,222)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sale of marketable securities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602 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Principal payments on marketable securities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3,882 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6"/>
              </w:rPr>
              <w:t>Net cash used in investing activities</w:t>
            </w:r>
            <w:r>
              <w:rPr>
                <w:rFonts w:ascii="Times New Roman;serif" w:hAnsi="Times New Roman;serif"/>
                <w:b w:val="false"/>
                <w:color w:val="000000"/>
                <w:sz w:val="10"/>
              </w:rPr>
              <w:t>(A)</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(30,856)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(9,003)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(39,859)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(22,107)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(17,623)</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Non-cash investing and financing activities: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Marketable securities retained in securitization transactions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(116,335)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(116,335)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(42,061)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(42,061)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180"/>
        <w:jc w:val="both"/>
        <w:rPr>
          <w:rFonts w:ascii="Times New Roman;serif" w:hAnsi="Times New Roman;serif"/>
          <w:b w:val="false"/>
          <w:color w:val="000000"/>
          <w:sz w:val="16"/>
        </w:rPr>
      </w:pPr>
      <w:r>
        <w:rPr>
          <w:rFonts w:ascii="Times New Roman;serif" w:hAnsi="Times New Roman;serif"/>
          <w:b w:val="false"/>
          <w:color w:val="000000"/>
          <w:sz w:val="16"/>
        </w:rPr>
        <w:t>(A) Net cash used in investing activities “As Corrected” represents the impact from this adjustment only and does not tie to the Consolidated Statements of Cash Flows for the year ended December 31, 2024 as it does not include the impact from the presentation change disclosed in “Change in Accounting Principle” in Note 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293370"/>
                <wp:effectExtent l="0" t="0" r="0" b="0"/>
                <wp:wrapNone/>
                <wp:docPr id="134" name="Frame132"/>
                <a:graphic xmlns:a="http://schemas.openxmlformats.org/drawingml/2006/main">
                  <a:graphicData uri="http://schemas.microsoft.com/office/word/2010/wordprocessingShape">
                    <wps:wsp>
                      <wps:cNvSpPr txBox="1"/>
                      <wps:spPr>
                        <a:xfrm>
                          <a:off x="0" y="0"/>
                          <a:ext cx="6480175" cy="293370"/>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132</w:t>
                            </w:r>
                          </w:p>
                          <w:p>
                            <w:pPr>
                              <w:pStyle w:val="TextBody"/>
                              <w:bidi w:val="0"/>
                              <w:spacing w:lineRule="auto" w:line="288" w:before="0" w:after="180"/>
                              <w:jc w:val="left"/>
                              <w:rPr/>
                            </w:pPr>
                            <w:hyperlink w:anchor="i8e13d1b6f3764394b0e424082d2ac79f_151">
                              <w:r>
                                <w:rPr>
                                  <w:rStyle w:val="InternetLink"/>
                                  <w:rFonts w:ascii="Times New Roman;serif" w:hAnsi="Times New Roman;serif"/>
                                  <w:b w:val="false"/>
                                  <w:color w:val="0000FF"/>
                                  <w:sz w:val="20"/>
                                  <w:u w:val="single"/>
                                </w:rPr>
                                <w:t>Table of Contents</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132</w:t>
                      </w:r>
                    </w:p>
                    <w:p>
                      <w:pPr>
                        <w:pStyle w:val="TextBody"/>
                        <w:bidi w:val="0"/>
                        <w:spacing w:lineRule="auto" w:line="288" w:before="0" w:after="180"/>
                        <w:jc w:val="left"/>
                        <w:rPr/>
                      </w:pPr>
                      <w:hyperlink w:anchor="i8e13d1b6f3764394b0e424082d2ac79f_151">
                        <w:r>
                          <w:rPr>
                            <w:rStyle w:val="InternetLink"/>
                            <w:rFonts w:ascii="Times New Roman;serif" w:hAnsi="Times New Roman;serif"/>
                            <w:b w:val="false"/>
                            <w:color w:val="0000FF"/>
                            <w:sz w:val="20"/>
                            <w:u w:val="single"/>
                          </w:rPr>
                          <w:t>Table of Contents</w:t>
                        </w:r>
                      </w:hyperlink>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FIGURE TECHNOLOGY SOLUTIONS,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tables in thousands, except share and per share data, units, ratios or as otherwise noted)</w:t>
      </w:r>
    </w:p>
    <w:p>
      <w:pPr>
        <w:pStyle w:val="TextBody"/>
        <w:bidi w:val="0"/>
        <w:spacing w:before="0" w:after="180"/>
        <w:jc w:val="center"/>
        <w:rPr/>
      </w:pPr>
      <w:r>
        <w:rPr/>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Emerging Growth Company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is an “Emerging Growth Company” (“EGC”), as defined in Section 2(a)(19) of the Securities Act and modified by the Jumpstart Our Business Startups Act of 2012 (“JOBS Act”), and it may take advantage of certain exemptions from various reporting requirements that are applicable to other public companies that are not EGCs, including, but not limited to, not being required to comply with the auditor attestation requirements of Section 404 of the Sarbanes-Oxley Act of 2002 (“Section 404”),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Further, Section 102(b)(1) of the JOBS Act exempts EGCs from being required to comply with new or revised financial accounting standards until private companies (that is, those that have not had a Securities Act registration statement declared effective or do not have a class of securities registered under the Exchange Act, as amended) are required to comply with the new or revised financial accounting standards. The JOBS Act provides that an EGC can elect to opt out of the extended transition period and comply with the requirements that apply to non-EGCs, but any such election to opt out is irrevocable. The Company has elected not to opt out of such extended transition period, which means that when an accounting standard is issued or revised and it has different application dates for public and private companies, the Company, as an EGC, can adopt the new or revised standard at the time private companies adopt the new or revised standard. This may make comparison of the Company’s Consolidated Financial Statements with another public company that is neither an EGC nor an EGC that has opted out of using the extended transition period difficult or impossible because of the potential differences in accounting standards used.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Consolidation</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Variable Interest Entities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 VIE is a legal entity in which (i) equity at risk investors do not have the characteristics of a controlling financial interest, (ii) the entities do not have sufficient equity at risk for the entity to finance its activities without additional subordinated financial support from other parties, or (iii) substantially all of the activities of the entity are performed on behalf of the party with disproportionately few voting rights. The Company’s variable interest arises from contractual, ownership, or other monetary interests in the entity, which change with fluctuations in the fair value of the entity’s net assets. A VIE is consolidated by its primary beneficiary, the party that has both the power to direct the activities that most significantly impact the VIE’s economic performance, and the obligation to absorb losses or the right to receive benefits of the VIE that could potentially be significant to the VIE.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determination of whether or not to consolidate a VIE under GAAP requires a significant amount of judgment concerning the degree of control over an entity by its holders of variable interests. To make these judgments, management conducts an analysis, on a case-by-case basis, on whether the Company is the primary beneficiary, the party who has the power to direct the activities of a VIE that most significantly impacts its economic performance and who has the obligation to absorb losses or the right to receive benefits from the VIE that could potentially be significant to the VIE, and are therefore required to consolidate the entity.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In circumstances where an entity does not have the characteristics of a VIE, the Company would consolidate the entity if the Company owns a majority of the equity interest and has control over significant operating, financial and investing decisions of the entity. For entities over which the Company exercises significant influence, but which do not meet the requirements for consolidation, the Company applies the equity method of accounting whereby it records its share of the underlying income of such entities. The Company records its share of income and losses in “Other (expense) income, net” in the Consolidated Statements of Operations. Distributions from equity method investments are classified as investing activities in the Consolidated Statements of Cash Flows.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applies the measurement alternative for entities in which the Company holds non-security interests and over which the Company does not exercise significant influence. Under the measurement alternative, investments are measured at cost, less any impairments, plus or minus changes resulting from observable price changes in orderly transactions for the identical or similar investment of the same issuer in the current period. The carrying value is not adjusted for the Company’s investment if there are no observable price changes in a same or similar security from the same issuer or if there are no identified events or changes in circumstances that may indicate impairment.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See Note 3 for additional information regarding the Company’s measurement alternative and equity method investees.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293370"/>
                <wp:effectExtent l="0" t="0" r="0" b="0"/>
                <wp:wrapNone/>
                <wp:docPr id="135" name="Frame133"/>
                <a:graphic xmlns:a="http://schemas.openxmlformats.org/drawingml/2006/main">
                  <a:graphicData uri="http://schemas.microsoft.com/office/word/2010/wordprocessingShape">
                    <wps:wsp>
                      <wps:cNvSpPr txBox="1"/>
                      <wps:spPr>
                        <a:xfrm>
                          <a:off x="0" y="0"/>
                          <a:ext cx="6480175" cy="293370"/>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133</w:t>
                            </w:r>
                          </w:p>
                          <w:p>
                            <w:pPr>
                              <w:pStyle w:val="TextBody"/>
                              <w:bidi w:val="0"/>
                              <w:spacing w:lineRule="auto" w:line="288" w:before="0" w:after="180"/>
                              <w:jc w:val="left"/>
                              <w:rPr/>
                            </w:pPr>
                            <w:hyperlink w:anchor="i8e13d1b6f3764394b0e424082d2ac79f_151">
                              <w:r>
                                <w:rPr>
                                  <w:rStyle w:val="InternetLink"/>
                                  <w:rFonts w:ascii="Times New Roman;serif" w:hAnsi="Times New Roman;serif"/>
                                  <w:b w:val="false"/>
                                  <w:color w:val="0000FF"/>
                                  <w:sz w:val="20"/>
                                  <w:u w:val="single"/>
                                </w:rPr>
                                <w:t>Table of Contents</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133</w:t>
                      </w:r>
                    </w:p>
                    <w:p>
                      <w:pPr>
                        <w:pStyle w:val="TextBody"/>
                        <w:bidi w:val="0"/>
                        <w:spacing w:lineRule="auto" w:line="288" w:before="0" w:after="180"/>
                        <w:jc w:val="left"/>
                        <w:rPr/>
                      </w:pPr>
                      <w:hyperlink w:anchor="i8e13d1b6f3764394b0e424082d2ac79f_151">
                        <w:r>
                          <w:rPr>
                            <w:rStyle w:val="InternetLink"/>
                            <w:rFonts w:ascii="Times New Roman;serif" w:hAnsi="Times New Roman;serif"/>
                            <w:b w:val="false"/>
                            <w:color w:val="0000FF"/>
                            <w:sz w:val="20"/>
                            <w:u w:val="single"/>
                          </w:rPr>
                          <w:t>Table of Contents</w:t>
                        </w:r>
                      </w:hyperlink>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FIGURE TECHNOLOGY SOLUTIONS,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tables in thousands, except share and per share data, units, ratios or as otherwise noted)</w:t>
      </w:r>
    </w:p>
    <w:p>
      <w:pPr>
        <w:pStyle w:val="TextBody"/>
        <w:bidi w:val="0"/>
        <w:spacing w:before="0" w:after="180"/>
        <w:jc w:val="center"/>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Management continually reconsiders whether the Company should consolidate a VIE or not; upon the occurrence of certain events, management will reconsider its conclusion regarding the status of an entity as a VIE. See Note 9 for additional information regarding the VIEs that the Company consolidates.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Noncontrolling Interests in Consolidated Subsidiaries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Noncontrolling interests represent the portion of subsidiaries’ net assets the Company consolidates but does not own. The Company recognizes each noncontrolling holder’s respective share of the net assets at the date of formation or acquisition. Noncontrolling interests are subsequently adjusted for the noncontrolling holder’s share of additional contributions, distributions, and their share of the net earnings or losses of each respective consolidated entity. The Company allocates net income or loss to noncontrolling interests based on the weighted-average ownership interest during the period. The net income or loss that is not attributable to the Company is reflected in “Net income (loss) attributable to noncontrolling interests in consolidated subsidiaries” in the Consolidated Statements of Operations. The Company does not recognize a gain or loss on transactions with a consolidated entity in which it does not own 100% of the equity, but the Company reflects the difference in cash received from, or paid to, the noncontrolling interests as adjustments to its carrying amount offset by additional paid-in-capital adjustments.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Segments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detailed in Note 1, the Recombination that was effective on August 29, 2025 recombined FTI and FMH through a series of transactions into a single operating entity. Prior to the Recombination, the Company operated and managed its business through FTI and FMH, including their respective subsidiaries, as two distinct legal entities and disclosed operating segments based on each legal entity.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Following the Recombination, the Company operates as a single operating and reportable segment. The legacy executive management teams have been consolidated into one executive team, and the Company’s Chief Operating Decision Maker (“CODM”) is its Chief Executive Officer, who reviews financial information presented on a consolidated basis for purposes of making operating decisions, allocating resources, and evaluating financial performance.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CODM evaluates performance and allocates resources using consolidated net income (loss) as reported in the Consolidated Statements of Operations. Significant expense categories and revenue streams reviewed by the CODM are presented on the face of the Consolidated Statements of Operations. The CODM does not review assets, liabilities, or capital expenditures at a more granular level; accordingly, no such disclosures are presented. Total consolidated assets are presented on the Consolidated Balance Sheets.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Substantially all of the Company’s revenues and long-lived assets are located in the United States, and the Company does not have any customers that represent more than 10% of consolidated revenues.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change in segment reporting did not have an impact on the Company’s consolidated financial position, results of operations, cash flows, or stockholders’ equity.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Risks and Uncertainties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the course of its business, the Company primarily encounters two significant types of economic risk: credit risk and market risk. Credit risk is the risk of default on the Company’s investments that results from a borrower’s or counterparty’s inability or unwillingness to make contractually required payments. Market risk reflects changes in the value of investments due to changes in prepayment rates, interest rates, or other market factors, including risks that impact the value of the collateral underlying the Company’s marketable securities, loans, servicing, and digital assets. To the extent the Company originates, invests in, or services loans concentrated in certain geographic locations, disruptions to those locations may cause material risks to the Company despite favorable macroeconomic conditions.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Changes in federal, state, or international tax laws or tax rulings could adversely affect the Company’s effective tax rate and its operating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Use of Estimates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preparation of financial statements in conformity with GAAP requires management to make subjective estimates, judgments, and assumptions that affect the reported amounts in these Consolidated Financial Statements and accompanying notes, including assets and liabilities, the disclosure of contingent assets and liabilities at the date of the Consolidated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293370"/>
                <wp:effectExtent l="0" t="0" r="0" b="0"/>
                <wp:wrapNone/>
                <wp:docPr id="136" name="Frame134"/>
                <a:graphic xmlns:a="http://schemas.openxmlformats.org/drawingml/2006/main">
                  <a:graphicData uri="http://schemas.microsoft.com/office/word/2010/wordprocessingShape">
                    <wps:wsp>
                      <wps:cNvSpPr txBox="1"/>
                      <wps:spPr>
                        <a:xfrm>
                          <a:off x="0" y="0"/>
                          <a:ext cx="6480175" cy="293370"/>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134</w:t>
                            </w:r>
                          </w:p>
                          <w:p>
                            <w:pPr>
                              <w:pStyle w:val="TextBody"/>
                              <w:bidi w:val="0"/>
                              <w:spacing w:lineRule="auto" w:line="288" w:before="0" w:after="180"/>
                              <w:jc w:val="left"/>
                              <w:rPr/>
                            </w:pPr>
                            <w:hyperlink w:anchor="i8e13d1b6f3764394b0e424082d2ac79f_151">
                              <w:r>
                                <w:rPr>
                                  <w:rStyle w:val="InternetLink"/>
                                  <w:rFonts w:ascii="Times New Roman;serif" w:hAnsi="Times New Roman;serif"/>
                                  <w:b w:val="false"/>
                                  <w:color w:val="0000FF"/>
                                  <w:sz w:val="20"/>
                                  <w:u w:val="single"/>
                                </w:rPr>
                                <w:t>Table of Contents</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134</w:t>
                      </w:r>
                    </w:p>
                    <w:p>
                      <w:pPr>
                        <w:pStyle w:val="TextBody"/>
                        <w:bidi w:val="0"/>
                        <w:spacing w:lineRule="auto" w:line="288" w:before="0" w:after="180"/>
                        <w:jc w:val="left"/>
                        <w:rPr/>
                      </w:pPr>
                      <w:hyperlink w:anchor="i8e13d1b6f3764394b0e424082d2ac79f_151">
                        <w:r>
                          <w:rPr>
                            <w:rStyle w:val="InternetLink"/>
                            <w:rFonts w:ascii="Times New Roman;serif" w:hAnsi="Times New Roman;serif"/>
                            <w:b w:val="false"/>
                            <w:color w:val="0000FF"/>
                            <w:sz w:val="20"/>
                            <w:u w:val="single"/>
                          </w:rPr>
                          <w:t>Table of Contents</w:t>
                        </w:r>
                      </w:hyperlink>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FIGURE TECHNOLOGY SOLUTIONS,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tables in thousands, except share and per share data, units, ratios or as otherwise noted)</w:t>
      </w:r>
    </w:p>
    <w:p>
      <w:pPr>
        <w:pStyle w:val="TextBody"/>
        <w:bidi w:val="0"/>
        <w:spacing w:before="0" w:after="180"/>
        <w:jc w:val="center"/>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Financial Statements, and the reported amounts of revenues and expenses during the reporting period. Actual results could differ from those estimates, and estimates may change as the Company obtains new information. Management uses historical experience, current events, and other factors to develop estimates and assumptions that management reviews periodically. The Consolidated Financial Statements reflect the effects of estimate revisions in the period in which such revisions occur. Management believes that these estimates and assumptions provide a reasonable basis for the fair presentation of the Consolidated Financial Statements.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Significant estimates include the determination of the prepayment rates, discount rates, default rates, and servicing costs (as applicable) used in determining the fair value adjustments for loans held for sale, held for investment, and servicing assets; valuation allowance for deferred tax assets; fair value of warrants; stock-based compensation, including the grant date fair value of the related common stock and employee awards of the Company, and other employee-related costs; inputs for capitalized internal use software and the related useful life for amortization.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Fair Value</w:t>
      </w:r>
    </w:p>
    <w:p>
      <w:pPr>
        <w:pStyle w:val="TextBody"/>
        <w:bidi w:val="0"/>
        <w:spacing w:lineRule="auto" w:line="288" w:before="0" w:after="180"/>
        <w:jc w:val="both"/>
        <w:rPr/>
      </w:pPr>
      <w:r>
        <w:rPr>
          <w:rFonts w:ascii="Times New Roman;serif" w:hAnsi="Times New Roman;serif"/>
          <w:b w:val="false"/>
          <w:color w:val="000000"/>
          <w:sz w:val="20"/>
        </w:rPr>
        <w:t xml:space="preserve">ASC 820, </w:t>
      </w:r>
      <w:r>
        <w:rPr>
          <w:rFonts w:ascii="Times New Roman;serif" w:hAnsi="Times New Roman;serif"/>
          <w:b w:val="false"/>
          <w:i/>
          <w:color w:val="000000"/>
          <w:sz w:val="20"/>
        </w:rPr>
        <w:t>Fair Value Measurements</w:t>
      </w:r>
      <w:r>
        <w:rPr>
          <w:color w:val="000000"/>
        </w:rPr>
        <w:t xml:space="preserve"> </w:t>
      </w:r>
      <w:r>
        <w:rPr>
          <w:rFonts w:ascii="Times New Roman;serif" w:hAnsi="Times New Roman;serif"/>
          <w:b w:val="false"/>
          <w:color w:val="000000"/>
          <w:sz w:val="20"/>
        </w:rPr>
        <w:t>(“ASC 820”), requires the categorization of the fair value of assets and liabilities into three broad levels that form a hierarchy based on the transparency of inputs to the valuation.</w:t>
      </w:r>
    </w:p>
    <w:tbl>
      <w:tblPr>
        <w:tblW w:w="10205" w:type="dxa"/>
        <w:jc w:val="left"/>
        <w:tblInd w:w="0" w:type="dxa"/>
        <w:tblLayout w:type="fixed"/>
        <w:tblCellMar>
          <w:top w:w="28" w:type="dxa"/>
          <w:left w:w="28" w:type="dxa"/>
          <w:bottom w:w="28" w:type="dxa"/>
          <w:right w:w="28" w:type="dxa"/>
        </w:tblCellMar>
      </w:tblPr>
      <w:tblGrid>
        <w:gridCol w:w="217"/>
        <w:gridCol w:w="191"/>
        <w:gridCol w:w="193"/>
        <w:gridCol w:w="109"/>
        <w:gridCol w:w="109"/>
        <w:gridCol w:w="109"/>
        <w:gridCol w:w="2713"/>
        <w:gridCol w:w="2713"/>
        <w:gridCol w:w="3851"/>
      </w:tblGrid>
      <w:tr>
        <w:trPr/>
        <w:tc>
          <w:tcPr>
            <w:tcW w:w="21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3" w:type="dxa"/>
            <w:tcBorders/>
            <w:vAlign w:val="center"/>
          </w:tcPr>
          <w:p>
            <w:pPr>
              <w:pStyle w:val="TableContents"/>
              <w:bidi w:val="0"/>
              <w:spacing w:before="0" w:after="283"/>
              <w:jc w:val="left"/>
              <w:rPr>
                <w:sz w:val="4"/>
                <w:szCs w:val="4"/>
              </w:rPr>
            </w:pPr>
            <w:r>
              <w:rPr>
                <w:sz w:val="4"/>
                <w:szCs w:val="4"/>
              </w:rPr>
            </w:r>
          </w:p>
        </w:tc>
        <w:tc>
          <w:tcPr>
            <w:tcW w:w="2713" w:type="dxa"/>
            <w:tcBorders/>
            <w:vAlign w:val="center"/>
          </w:tcPr>
          <w:p>
            <w:pPr>
              <w:pStyle w:val="TableContents"/>
              <w:bidi w:val="0"/>
              <w:spacing w:before="0" w:after="283"/>
              <w:jc w:val="left"/>
              <w:rPr>
                <w:sz w:val="4"/>
                <w:szCs w:val="4"/>
              </w:rPr>
            </w:pPr>
            <w:r>
              <w:rPr>
                <w:sz w:val="4"/>
                <w:szCs w:val="4"/>
              </w:rPr>
            </w:r>
          </w:p>
        </w:tc>
        <w:tc>
          <w:tcPr>
            <w:tcW w:w="3851" w:type="dxa"/>
            <w:tcBorders/>
            <w:vAlign w:val="center"/>
          </w:tcPr>
          <w:p>
            <w:pPr>
              <w:pStyle w:val="TableContents"/>
              <w:bidi w:val="0"/>
              <w:spacing w:before="0" w:after="283"/>
              <w:jc w:val="left"/>
              <w:rPr>
                <w:sz w:val="4"/>
                <w:szCs w:val="4"/>
              </w:rPr>
            </w:pPr>
            <w:r>
              <w:rPr>
                <w:sz w:val="4"/>
                <w:szCs w:val="4"/>
              </w:rPr>
            </w:r>
          </w:p>
        </w:tc>
      </w:tr>
      <w:tr>
        <w:trPr/>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Measurement</w:t>
            </w:r>
          </w:p>
        </w:tc>
      </w:tr>
      <w:tr>
        <w:trPr/>
        <w:tc>
          <w:tcPr>
            <w:tcW w:w="6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Inputs are unadjusted, quoted prices in active markets for identical assets or liabilities at the measurement date.</w:t>
            </w:r>
          </w:p>
        </w:tc>
      </w:tr>
      <w:tr>
        <w:trPr/>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Inputs are other than quoted prices that are observable for the asset or liability, either directly or indirectly. Level 2 inputs include quoted prices for similar instruments in active markets and inputs other than quoted prices that are observable for the asset or liability.</w:t>
            </w:r>
          </w:p>
        </w:tc>
      </w:tr>
      <w:tr>
        <w:trPr/>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Inputs are unobservable for the asset or liability and include situations where there is little, if any, market activity for the asset or liability.</w:t>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follows this hierarchy for its assets and liabilities, with classifications based on the lowest level of input that is significant to the fair value measurement. The following summarizes the Company’s assets and liabilities within the fair value hierarchy at December 31, 2025 and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293370"/>
                <wp:effectExtent l="0" t="0" r="0" b="0"/>
                <wp:wrapNone/>
                <wp:docPr id="137" name="Frame135"/>
                <a:graphic xmlns:a="http://schemas.openxmlformats.org/drawingml/2006/main">
                  <a:graphicData uri="http://schemas.microsoft.com/office/word/2010/wordprocessingShape">
                    <wps:wsp>
                      <wps:cNvSpPr txBox="1"/>
                      <wps:spPr>
                        <a:xfrm>
                          <a:off x="0" y="0"/>
                          <a:ext cx="6480175" cy="293370"/>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135</w:t>
                            </w:r>
                          </w:p>
                          <w:p>
                            <w:pPr>
                              <w:pStyle w:val="TextBody"/>
                              <w:bidi w:val="0"/>
                              <w:spacing w:lineRule="auto" w:line="288" w:before="0" w:after="180"/>
                              <w:jc w:val="left"/>
                              <w:rPr/>
                            </w:pPr>
                            <w:hyperlink w:anchor="i8e13d1b6f3764394b0e424082d2ac79f_151">
                              <w:r>
                                <w:rPr>
                                  <w:rStyle w:val="InternetLink"/>
                                  <w:rFonts w:ascii="Times New Roman;serif" w:hAnsi="Times New Roman;serif"/>
                                  <w:b w:val="false"/>
                                  <w:color w:val="0000FF"/>
                                  <w:sz w:val="20"/>
                                  <w:u w:val="single"/>
                                </w:rPr>
                                <w:t>Table of Contents</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135</w:t>
                      </w:r>
                    </w:p>
                    <w:p>
                      <w:pPr>
                        <w:pStyle w:val="TextBody"/>
                        <w:bidi w:val="0"/>
                        <w:spacing w:lineRule="auto" w:line="288" w:before="0" w:after="180"/>
                        <w:jc w:val="left"/>
                        <w:rPr/>
                      </w:pPr>
                      <w:hyperlink w:anchor="i8e13d1b6f3764394b0e424082d2ac79f_151">
                        <w:r>
                          <w:rPr>
                            <w:rStyle w:val="InternetLink"/>
                            <w:rFonts w:ascii="Times New Roman;serif" w:hAnsi="Times New Roman;serif"/>
                            <w:b w:val="false"/>
                            <w:color w:val="0000FF"/>
                            <w:sz w:val="20"/>
                            <w:u w:val="single"/>
                          </w:rPr>
                          <w:t>Table of Contents</w:t>
                        </w:r>
                      </w:hyperlink>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FIGURE TECHNOLOGY SOLUTIONS,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tables in thousands, except share and per share data, units, ratios or as otherwise noted)</w:t>
      </w:r>
    </w:p>
    <w:p>
      <w:pPr>
        <w:pStyle w:val="TextBody"/>
        <w:bidi w:val="0"/>
        <w:spacing w:before="0" w:after="180"/>
        <w:jc w:val="center"/>
        <w:rPr/>
      </w:pPr>
      <w:r>
        <w:rPr/>
      </w:r>
    </w:p>
    <w:tbl>
      <w:tblPr>
        <w:tblW w:w="10205" w:type="dxa"/>
        <w:jc w:val="left"/>
        <w:tblInd w:w="0" w:type="dxa"/>
        <w:tblLayout w:type="fixed"/>
        <w:tblCellMar>
          <w:top w:w="28" w:type="dxa"/>
          <w:left w:w="28" w:type="dxa"/>
          <w:bottom w:w="28" w:type="dxa"/>
          <w:right w:w="28" w:type="dxa"/>
        </w:tblCellMar>
      </w:tblPr>
      <w:tblGrid>
        <w:gridCol w:w="217"/>
        <w:gridCol w:w="191"/>
        <w:gridCol w:w="193"/>
        <w:gridCol w:w="109"/>
        <w:gridCol w:w="109"/>
        <w:gridCol w:w="109"/>
        <w:gridCol w:w="614"/>
        <w:gridCol w:w="554"/>
        <w:gridCol w:w="556"/>
        <w:gridCol w:w="109"/>
        <w:gridCol w:w="109"/>
        <w:gridCol w:w="109"/>
        <w:gridCol w:w="2163"/>
        <w:gridCol w:w="2092"/>
        <w:gridCol w:w="2971"/>
      </w:tblGrid>
      <w:tr>
        <w:trPr/>
        <w:tc>
          <w:tcPr>
            <w:tcW w:w="21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3" w:type="dxa"/>
            <w:tcBorders/>
            <w:vAlign w:val="center"/>
          </w:tcPr>
          <w:p>
            <w:pPr>
              <w:pStyle w:val="TableContents"/>
              <w:bidi w:val="0"/>
              <w:spacing w:before="0" w:after="283"/>
              <w:jc w:val="left"/>
              <w:rPr>
                <w:sz w:val="4"/>
                <w:szCs w:val="4"/>
              </w:rPr>
            </w:pPr>
            <w:r>
              <w:rPr>
                <w:sz w:val="4"/>
                <w:szCs w:val="4"/>
              </w:rPr>
            </w:r>
          </w:p>
        </w:tc>
        <w:tc>
          <w:tcPr>
            <w:tcW w:w="2092" w:type="dxa"/>
            <w:tcBorders/>
            <w:vAlign w:val="center"/>
          </w:tcPr>
          <w:p>
            <w:pPr>
              <w:pStyle w:val="TableContents"/>
              <w:bidi w:val="0"/>
              <w:spacing w:before="0" w:after="283"/>
              <w:jc w:val="left"/>
              <w:rPr>
                <w:sz w:val="4"/>
                <w:szCs w:val="4"/>
              </w:rPr>
            </w:pPr>
            <w:r>
              <w:rPr>
                <w:sz w:val="4"/>
                <w:szCs w:val="4"/>
              </w:rPr>
            </w:r>
          </w:p>
        </w:tc>
        <w:tc>
          <w:tcPr>
            <w:tcW w:w="2971" w:type="dxa"/>
            <w:tcBorders/>
            <w:vAlign w:val="center"/>
          </w:tcPr>
          <w:p>
            <w:pPr>
              <w:pStyle w:val="TableContents"/>
              <w:bidi w:val="0"/>
              <w:spacing w:before="0" w:after="283"/>
              <w:jc w:val="left"/>
              <w:rPr>
                <w:sz w:val="4"/>
                <w:szCs w:val="4"/>
              </w:rPr>
            </w:pPr>
            <w:r>
              <w:rPr>
                <w:sz w:val="4"/>
                <w:szCs w:val="4"/>
              </w:rPr>
            </w:r>
          </w:p>
        </w:tc>
      </w:tr>
      <w:tr>
        <w:trPr/>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Assets and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Measurement</w:t>
            </w:r>
          </w:p>
        </w:tc>
      </w:tr>
      <w:tr>
        <w:trPr/>
        <w:tc>
          <w:tcPr>
            <w:tcW w:w="6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Estimates of fair value are measured using observable, quoted market prices, or Level 1 inputs.</w:t>
            </w:r>
          </w:p>
        </w:tc>
      </w:tr>
      <w:tr>
        <w:trPr/>
        <w:tc>
          <w:tcPr>
            <w:tcW w:w="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Digital assets and digital asset collateral held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Estimates of fair value are measured using observable, quoted digital asset prices within the Company’s principal market at the time of measurement as Level 1 inputs.</w:t>
            </w:r>
          </w:p>
        </w:tc>
      </w:tr>
      <w:tr>
        <w:trPr/>
        <w:tc>
          <w:tcPr>
            <w:tcW w:w="6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Treasury Note Futures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Estimates of fair value are measured using observable, quoted market prices, or Level 1 inputs.</w:t>
            </w:r>
          </w:p>
        </w:tc>
      </w:tr>
      <w:tr>
        <w:trPr/>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Estimates of fair value are based on quoted prices of similar assets.</w:t>
            </w:r>
          </w:p>
        </w:tc>
      </w:tr>
      <w:tr>
        <w:trPr/>
        <w:tc>
          <w:tcPr>
            <w:tcW w:w="6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Estimates of fair value are measured based upon observable market data of similar instruments.</w:t>
            </w:r>
          </w:p>
        </w:tc>
      </w:tr>
      <w:tr>
        <w:trPr/>
        <w:tc>
          <w:tcPr>
            <w:tcW w:w="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Certificate repayment obligation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Estimates of fair value are measured based upon observable market data of similar instruments.</w:t>
            </w:r>
          </w:p>
        </w:tc>
      </w:tr>
      <w:tr>
        <w:trPr/>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6" w:type="dxa"/>
            <w:gridSpan w:val="3"/>
            <w:tcBorders/>
            <w:vAlign w:val="center"/>
          </w:tcPr>
          <w:p>
            <w:pPr>
              <w:pStyle w:val="TableContents"/>
              <w:bidi w:val="0"/>
              <w:spacing w:before="0" w:after="283"/>
              <w:jc w:val="left"/>
              <w:rPr>
                <w:sz w:val="4"/>
                <w:szCs w:val="4"/>
              </w:rPr>
            </w:pPr>
            <w:r>
              <w:rPr>
                <w:sz w:val="4"/>
                <w:szCs w:val="4"/>
              </w:rPr>
            </w:r>
          </w:p>
        </w:tc>
      </w:tr>
      <w:tr>
        <w:trPr/>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6" w:type="dxa"/>
            <w:gridSpan w:val="3"/>
            <w:tcBorders/>
            <w:vAlign w:val="center"/>
          </w:tcPr>
          <w:p>
            <w:pPr>
              <w:pStyle w:val="TableContents"/>
              <w:bidi w:val="0"/>
              <w:spacing w:before="0" w:after="283"/>
              <w:jc w:val="left"/>
              <w:rPr>
                <w:sz w:val="4"/>
                <w:szCs w:val="4"/>
              </w:rPr>
            </w:pPr>
            <w:r>
              <w:rPr>
                <w:sz w:val="4"/>
                <w:szCs w:val="4"/>
              </w:rPr>
            </w:r>
          </w:p>
        </w:tc>
      </w:tr>
      <w:tr>
        <w:trPr/>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6" w:type="dxa"/>
            <w:gridSpan w:val="3"/>
            <w:tcBorders/>
            <w:vAlign w:val="center"/>
          </w:tcPr>
          <w:p>
            <w:pPr>
              <w:pStyle w:val="TableContents"/>
              <w:bidi w:val="0"/>
              <w:spacing w:before="0" w:after="283"/>
              <w:jc w:val="left"/>
              <w:rPr>
                <w:sz w:val="4"/>
                <w:szCs w:val="4"/>
              </w:rPr>
            </w:pPr>
            <w:r>
              <w:rPr>
                <w:sz w:val="4"/>
                <w:szCs w:val="4"/>
              </w:rPr>
            </w:r>
          </w:p>
        </w:tc>
      </w:tr>
      <w:tr>
        <w:trPr/>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 —Residual Interest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Estimates of fair value are measured based upon discounted expected future cash flows arising from the securitization collateral cash flows after payments of principal and interest to senior noteholders and other fees, incorporating assumptions of scheduled principal and interest collections; prepayment and default rates; and debt-to-income and loan-to-value ratios.</w:t>
            </w:r>
          </w:p>
        </w:tc>
      </w:tr>
      <w:tr>
        <w:trPr/>
        <w:tc>
          <w:tcPr>
            <w:tcW w:w="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Estimates of fair value are measured based upon discounted expected future contractual loan cash flows, incorporating assumptions of scheduled principal and interest collections; prepayment and default rates; and debt-to-income and loan-to-value ratios.</w:t>
            </w:r>
          </w:p>
        </w:tc>
      </w:tr>
      <w:tr>
        <w:trPr/>
        <w:tc>
          <w:tcPr>
            <w:tcW w:w="6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 servicing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Estimates of fair value are measured based upon discounted expected future cash flows arising from the market fees earned to service underlying similar loans, net of market servicing costs, of the forecasted loan balances, incorporating scheduled principal and interest collections as well as prepayment and default rates.</w:t>
            </w:r>
          </w:p>
        </w:tc>
      </w:tr>
    </w:tbl>
    <w:p>
      <w:pPr>
        <w:pStyle w:val="TextBody"/>
        <w:bidi w:val="0"/>
        <w:spacing w:lineRule="auto" w:line="288" w:before="0" w:after="180"/>
        <w:jc w:val="both"/>
        <w:rPr/>
      </w:pPr>
      <w:r>
        <w:rPr>
          <w:rFonts w:ascii="Times New Roman;serif" w:hAnsi="Times New Roman;serif"/>
          <w:b/>
          <w:i/>
          <w:color w:val="000000"/>
          <w:sz w:val="20"/>
        </w:rPr>
        <w:t>Significant Inputs</w:t>
      </w:r>
      <w:r>
        <w:rPr>
          <w:color w:val="000000"/>
        </w:rPr>
        <w:t xml:space="preserve"> — </w:t>
      </w:r>
      <w:r>
        <w:rPr>
          <w:rFonts w:ascii="Times New Roman;serif" w:hAnsi="Times New Roman;serif"/>
          <w:b w:val="false"/>
          <w:color w:val="000000"/>
          <w:sz w:val="20"/>
        </w:rPr>
        <w:t>For the assets and liabilities measurements above, the Company uses the following significant inputs: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i/>
          <w:color w:val="000000"/>
          <w:sz w:val="20"/>
        </w:rPr>
        <w:t>Conditional Prepayment Rate (“CPR”)</w:t>
      </w:r>
      <w:r>
        <w:rPr>
          <w:color w:val="000000"/>
        </w:rPr>
        <w:t xml:space="preserve"> — </w:t>
      </w:r>
      <w:r>
        <w:rPr>
          <w:rFonts w:ascii="Times New Roman;serif" w:hAnsi="Times New Roman;serif"/>
          <w:b w:val="false"/>
          <w:color w:val="000000"/>
          <w:sz w:val="20"/>
        </w:rPr>
        <w:t>The percentage per annum of a pool of loans expected to voluntarily repay principal in advance of scheduled, contractual payment terms based on available market data for similar loan types and prepayment statuses.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i/>
          <w:color w:val="000000"/>
          <w:sz w:val="20"/>
        </w:rPr>
        <w:t>Constant Default Rate (“CDR”)</w:t>
      </w:r>
      <w:r>
        <w:rPr>
          <w:color w:val="000000"/>
        </w:rPr>
        <w:t xml:space="preserve"> — </w:t>
      </w:r>
      <w:r>
        <w:rPr>
          <w:rFonts w:ascii="Times New Roman;serif" w:hAnsi="Times New Roman;serif"/>
          <w:b w:val="false"/>
          <w:color w:val="000000"/>
          <w:sz w:val="20"/>
        </w:rPr>
        <w:t>The percentage per annum of a pool of loans expected to experience delinquency of greater than 90 days based on available market data for similar loan types and delinquency statuses.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i/>
          <w:color w:val="000000"/>
          <w:sz w:val="20"/>
        </w:rPr>
        <w:t>Servicing Rates</w:t>
      </w:r>
      <w:r>
        <w:rPr>
          <w:color w:val="000000"/>
        </w:rPr>
        <w:t xml:space="preserve"> — </w:t>
      </w:r>
      <w:r>
        <w:rPr>
          <w:rFonts w:ascii="Times New Roman;serif" w:hAnsi="Times New Roman;serif"/>
          <w:b w:val="false"/>
          <w:color w:val="000000"/>
          <w:sz w:val="20"/>
        </w:rPr>
        <w:t>Servicing rates used by the Company are based on available market data for similar loan types and delinquency statuses.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i/>
          <w:color w:val="000000"/>
          <w:sz w:val="20"/>
        </w:rPr>
        <w:t>Discount Rate</w:t>
      </w:r>
      <w:r>
        <w:rPr>
          <w:color w:val="000000"/>
        </w:rPr>
        <w:t xml:space="preserve"> — </w:t>
      </w:r>
      <w:r>
        <w:rPr>
          <w:rFonts w:ascii="Times New Roman;serif" w:hAnsi="Times New Roman;serif"/>
          <w:b w:val="false"/>
          <w:color w:val="000000"/>
          <w:sz w:val="20"/>
        </w:rPr>
        <w:t>Expected future cash flows are discounted at a rate derived from market data for similar financial instruments or related collateral.</w:t>
      </w:r>
    </w:p>
    <w:p>
      <w:pPr>
        <w:pStyle w:val="TextBody"/>
        <w:bidi w:val="0"/>
        <w:spacing w:lineRule="auto" w:line="288" w:before="0" w:after="180"/>
        <w:jc w:val="both"/>
        <w:rPr/>
      </w:pPr>
      <w:r>
        <w:rPr>
          <w:rFonts w:ascii="Times New Roman;serif" w:hAnsi="Times New Roman;serif"/>
          <w:b/>
          <w:i/>
          <w:color w:val="000000"/>
          <w:sz w:val="20"/>
        </w:rPr>
        <w:t>Fair Value Option</w:t>
      </w:r>
      <w:r>
        <w:rPr>
          <w:color w:val="000000"/>
        </w:rPr>
        <w:t xml:space="preserve"> — </w:t>
      </w:r>
      <w:r>
        <w:rPr>
          <w:rFonts w:ascii="Times New Roman;serif" w:hAnsi="Times New Roman;serif"/>
          <w:b w:val="false"/>
          <w:color w:val="000000"/>
          <w:sz w:val="20"/>
        </w:rPr>
        <w:t xml:space="preserve">The fair value option election per ASC 825, </w:t>
      </w:r>
      <w:r>
        <w:rPr>
          <w:rFonts w:ascii="Times New Roman;serif" w:hAnsi="Times New Roman;serif"/>
          <w:b w:val="false"/>
          <w:i/>
          <w:color w:val="000000"/>
          <w:sz w:val="20"/>
        </w:rPr>
        <w:t>Financial Instruments (“</w:t>
      </w:r>
      <w:r>
        <w:rPr>
          <w:rFonts w:ascii="Times New Roman;serif" w:hAnsi="Times New Roman;serif"/>
          <w:b w:val="false"/>
          <w:color w:val="000000"/>
          <w:sz w:val="20"/>
        </w:rPr>
        <w:t>ASC 825”), provides the Company with an irrevocable option to elect fair value as an alternative measurement for selected financial instruments upon initial recognition of an asset or liability, which the Company is then required to carry at fair value and reflect changes thereon in earnings. The Company elected the fair value option for marketable securities, including retained security interests, publicly-traded face-amount certificate liabilities related to the interest-bearing stablecoin (“YLDS”), digital financial assets acquired and corresponding financial liabilities assumed in connection with secured borrowing transactions, and loans as management believes incorporating current market conditions in the carrying value of these financial instruments provides better information regarding the Company’s economic exposure to these assets.</w:t>
      </w:r>
    </w:p>
    <w:p>
      <w:pPr>
        <w:pStyle w:val="TextBody"/>
        <w:bidi w:val="0"/>
        <w:spacing w:lineRule="auto" w:line="288" w:before="0" w:after="180"/>
        <w:jc w:val="both"/>
        <w:rPr/>
      </w:pPr>
      <w:r>
        <w:rPr>
          <w:rFonts w:ascii="Times New Roman;serif" w:hAnsi="Times New Roman;serif"/>
          <w:b/>
          <w:i/>
          <w:color w:val="000000"/>
          <w:sz w:val="20"/>
        </w:rPr>
        <w:t>Valuation Process</w:t>
      </w:r>
      <w:r>
        <w:rPr>
          <w:color w:val="000000"/>
        </w:rPr>
        <w:t xml:space="preserve"> — </w:t>
      </w:r>
      <w:r>
        <w:rPr>
          <w:rFonts w:ascii="Times New Roman;serif" w:hAnsi="Times New Roman;serif"/>
          <w:b w:val="false"/>
          <w:color w:val="000000"/>
          <w:sz w:val="20"/>
        </w:rPr>
        <w:t xml:space="preserve">On a quarterly basis, with assistance from an independent valuation firm, management estimates the fair value of the Company’s Level 3 assets and liabilities. The Company’s determination of fair value is based upon the best information available for a given circumstance and may incorporate assumptions that are management’s best estimates after considering a variety of internal and external factors. When an independent valuation firm expresses an opinion on the fair value of an asset or liability in the form of a range, management selects a value within the range provided by the independent valuation firm to assess the reasonableness of management’s estimated fair value for that asset or liability. At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293370"/>
                <wp:effectExtent l="0" t="0" r="0" b="0"/>
                <wp:wrapNone/>
                <wp:docPr id="138" name="Frame136"/>
                <a:graphic xmlns:a="http://schemas.openxmlformats.org/drawingml/2006/main">
                  <a:graphicData uri="http://schemas.microsoft.com/office/word/2010/wordprocessingShape">
                    <wps:wsp>
                      <wps:cNvSpPr txBox="1"/>
                      <wps:spPr>
                        <a:xfrm>
                          <a:off x="0" y="0"/>
                          <a:ext cx="6480175" cy="293370"/>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136</w:t>
                            </w:r>
                          </w:p>
                          <w:p>
                            <w:pPr>
                              <w:pStyle w:val="TextBody"/>
                              <w:bidi w:val="0"/>
                              <w:spacing w:lineRule="auto" w:line="288" w:before="0" w:after="180"/>
                              <w:jc w:val="left"/>
                              <w:rPr/>
                            </w:pPr>
                            <w:hyperlink w:anchor="i8e13d1b6f3764394b0e424082d2ac79f_151">
                              <w:r>
                                <w:rPr>
                                  <w:rStyle w:val="InternetLink"/>
                                  <w:rFonts w:ascii="Times New Roman;serif" w:hAnsi="Times New Roman;serif"/>
                                  <w:b w:val="false"/>
                                  <w:color w:val="0000FF"/>
                                  <w:sz w:val="20"/>
                                  <w:u w:val="single"/>
                                </w:rPr>
                                <w:t>Table of Contents</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136</w:t>
                      </w:r>
                    </w:p>
                    <w:p>
                      <w:pPr>
                        <w:pStyle w:val="TextBody"/>
                        <w:bidi w:val="0"/>
                        <w:spacing w:lineRule="auto" w:line="288" w:before="0" w:after="180"/>
                        <w:jc w:val="left"/>
                        <w:rPr/>
                      </w:pPr>
                      <w:hyperlink w:anchor="i8e13d1b6f3764394b0e424082d2ac79f_151">
                        <w:r>
                          <w:rPr>
                            <w:rStyle w:val="InternetLink"/>
                            <w:rFonts w:ascii="Times New Roman;serif" w:hAnsi="Times New Roman;serif"/>
                            <w:b w:val="false"/>
                            <w:color w:val="0000FF"/>
                            <w:sz w:val="20"/>
                            <w:u w:val="single"/>
                          </w:rPr>
                          <w:t>Table of Contents</w:t>
                        </w:r>
                      </w:hyperlink>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FIGURE TECHNOLOGY SOLUTIONS,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tables in thousands, except share and per share data, units, ratios or as otherwise noted)</w:t>
      </w:r>
    </w:p>
    <w:p>
      <w:pPr>
        <w:pStyle w:val="TextBody"/>
        <w:bidi w:val="0"/>
        <w:spacing w:before="0" w:after="180"/>
        <w:jc w:val="center"/>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December 31, 2025, the Company’s valuation process for Level 3 measurements, as described below, was conducted internally or by an independent valuation firm and reviewed by management:</w:t>
      </w:r>
    </w:p>
    <w:p>
      <w:pPr>
        <w:pStyle w:val="TextBody"/>
        <w:bidi w:val="0"/>
        <w:spacing w:lineRule="auto" w:line="288" w:before="0" w:after="180"/>
        <w:ind w:left="0" w:right="0" w:hanging="360"/>
        <w:jc w:val="both"/>
        <w:rPr/>
      </w:pPr>
      <w:r>
        <w:rPr>
          <w:color w:val="000000"/>
        </w:rPr>
        <w:t>•</w:t>
      </w:r>
      <w:r>
        <w:rPr>
          <w:rFonts w:ascii="Times New Roman;serif" w:hAnsi="Times New Roman;serif"/>
          <w:b w:val="false"/>
          <w:i/>
          <w:color w:val="000000"/>
          <w:sz w:val="20"/>
        </w:rPr>
        <w:t>Marketable Securities — Residual Interest Securities</w:t>
      </w:r>
      <w:r>
        <w:rPr>
          <w:color w:val="000000"/>
        </w:rPr>
        <w:t xml:space="preserve"> — </w:t>
      </w:r>
      <w:r>
        <w:rPr>
          <w:rFonts w:ascii="Times New Roman;serif" w:hAnsi="Times New Roman;serif"/>
          <w:b w:val="false"/>
          <w:color w:val="000000"/>
          <w:sz w:val="20"/>
        </w:rPr>
        <w:t>Management generally classifies the Company’s investments in the residual interests of securitizations collateralized by loans as Level 3 assets in the fair value hierarchy given such assets lack sufficient observable market activity to classify as Level 2. The Company also holds marketable securities in certain securitizations with recent similar transactions in active markets to derive the fair value of those securities as Level 2 assets.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i/>
          <w:color w:val="000000"/>
          <w:sz w:val="20"/>
        </w:rPr>
        <w:t>Loans</w:t>
      </w:r>
      <w:r>
        <w:rPr>
          <w:color w:val="000000"/>
        </w:rPr>
        <w:t xml:space="preserve"> — </w:t>
      </w:r>
      <w:r>
        <w:rPr>
          <w:rFonts w:ascii="Times New Roman;serif" w:hAnsi="Times New Roman;serif"/>
          <w:b w:val="false"/>
          <w:color w:val="000000"/>
          <w:sz w:val="20"/>
        </w:rPr>
        <w:t xml:space="preserve">Management generally considers the Company’s loans as Level 3 assets in the fair value hierarchy as such assets are illiquid investments that are specific to the loan product, for which there is limited market activity. On a quarterly basis, management engages an independent valuation firm to estimate the fair value of each loan categorized as a Level 3 asset.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i/>
          <w:color w:val="000000"/>
          <w:sz w:val="20"/>
        </w:rPr>
        <w:t>Loan Servicing Asset</w:t>
      </w:r>
      <w:r>
        <w:rPr>
          <w:color w:val="000000"/>
        </w:rPr>
        <w:t xml:space="preserve"> — </w:t>
      </w:r>
      <w:r>
        <w:rPr>
          <w:rFonts w:ascii="Times New Roman;serif" w:hAnsi="Times New Roman;serif"/>
          <w:b w:val="false"/>
          <w:color w:val="000000"/>
          <w:sz w:val="20"/>
        </w:rPr>
        <w:t>Management generally considers the Company’s servicing assets as Level 3 assets in the fair value hierarchy given such assets are illiquid contracts that are specific to the loan pool serviced. Servicing fees earned, and costs incurred, are derived from various loan types and are adjusted for the loans the Company services.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i/>
          <w:color w:val="000000"/>
          <w:sz w:val="20"/>
        </w:rPr>
        <w:t>Other Valuation Matters</w:t>
      </w:r>
      <w:r>
        <w:rPr>
          <w:color w:val="000000"/>
        </w:rPr>
        <w:t xml:space="preserve"> — </w:t>
      </w:r>
      <w:r>
        <w:rPr>
          <w:rFonts w:ascii="Times New Roman;serif" w:hAnsi="Times New Roman;serif"/>
          <w:b w:val="false"/>
          <w:color w:val="000000"/>
          <w:sz w:val="20"/>
        </w:rPr>
        <w:t>For Level 3 assets acquired, and liabilities assumed, during the calendar month immediately preceding a quarter end that were conducted in an orderly transaction with an unrelated party, management generally believes that the transaction price provides the most observable indication of fair value given the illiquid nature of these assets or liabilities unless management is aware of any circumstances that may cause a material change in the fair value through the remainder of the reporting period. For instance, significant changes in a counterparty’s intent or ability to make payments on a financial asset may cause material changes in the fair value of that financial asset.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See Note 12 for additional information regarding the valuation of the Company’s assets and liabilities.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Transfers and Servicing</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situations where the Company is the transferor of financial assets to an entity that it does not consolidate, the Company assesses whether the transfer of the underlying assets would qualify for sale accounting or should be accounted for as secured borrowing.</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 special purpose entity (“SPE”) is an entity designed to fulfill a specific limited need of the company that organized it. SPEs are often used to facilitate transactions that involve securitizing financial assets or resecuritizing previously securitized financial assets. The objective of such transactions may include obtaining non-recourse financing, obtaining liquidity, or refinancing the underlying securitized financial assets on improved terms. Securitization involves transferring assets to an SPE to convert all or a portion of those assets into cash before they would have been realized in the normal course of business through the SPE’s issuance of debt or equity instruments. Investors in an SPE usually have recourse only to the assets in the SPE and, depending on the overall structure of the transaction, may benefit from various forms of credit enhancement, such as over-collateralization in the form of excess assets in the SPE, priority with respect to receipt of cash flows relative to holders of other debt or equity instruments issued by the SPE, or a line of credit or other form of liquidity agreement that is designed with the objective of ensuring that investors receive principal and/or interest cash flow on the investment in accordance with the terms of their investment agreement. The Company generally securitizes loans if possible.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may periodically enter into transactions in which it transfers assets to a third party. Upon a transfer of financial assets, the Company may retain or acquire subordinated interests in the related assets. In such circumstances, the Company determines whether it has surrendered control over the transferred financial assets, considering its continuing involvement in the transferred financial asset through arrangements or agreements made contemporaneously with, or in contemplation of, the transfer.</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If the Company surrenders control of the financial assets, including legal isolation of the financial asset and ability of the transferee to pledge or exchange the transferred assets without constraint, the Company accounts for the transfer as a sale and (a) recognizes the financial and servicing assets it acquired or retained and the liabilities it has incurred, (b) derecognizes financial assets it has sold and liabilities extinguished, (c) recognizes a gain (loss) for the fair value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293370"/>
                <wp:effectExtent l="0" t="0" r="0" b="0"/>
                <wp:wrapNone/>
                <wp:docPr id="139" name="Frame137"/>
                <a:graphic xmlns:a="http://schemas.openxmlformats.org/drawingml/2006/main">
                  <a:graphicData uri="http://schemas.microsoft.com/office/word/2010/wordprocessingShape">
                    <wps:wsp>
                      <wps:cNvSpPr txBox="1"/>
                      <wps:spPr>
                        <a:xfrm>
                          <a:off x="0" y="0"/>
                          <a:ext cx="6480175" cy="293370"/>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137</w:t>
                            </w:r>
                          </w:p>
                          <w:p>
                            <w:pPr>
                              <w:pStyle w:val="TextBody"/>
                              <w:bidi w:val="0"/>
                              <w:spacing w:lineRule="auto" w:line="288" w:before="0" w:after="180"/>
                              <w:jc w:val="left"/>
                              <w:rPr/>
                            </w:pPr>
                            <w:hyperlink w:anchor="i8e13d1b6f3764394b0e424082d2ac79f_151">
                              <w:r>
                                <w:rPr>
                                  <w:rStyle w:val="InternetLink"/>
                                  <w:rFonts w:ascii="Times New Roman;serif" w:hAnsi="Times New Roman;serif"/>
                                  <w:b w:val="false"/>
                                  <w:color w:val="0000FF"/>
                                  <w:sz w:val="20"/>
                                  <w:u w:val="single"/>
                                </w:rPr>
                                <w:t>Table of Contents</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137</w:t>
                      </w:r>
                    </w:p>
                    <w:p>
                      <w:pPr>
                        <w:pStyle w:val="TextBody"/>
                        <w:bidi w:val="0"/>
                        <w:spacing w:lineRule="auto" w:line="288" w:before="0" w:after="180"/>
                        <w:jc w:val="left"/>
                        <w:rPr/>
                      </w:pPr>
                      <w:hyperlink w:anchor="i8e13d1b6f3764394b0e424082d2ac79f_151">
                        <w:r>
                          <w:rPr>
                            <w:rStyle w:val="InternetLink"/>
                            <w:rFonts w:ascii="Times New Roman;serif" w:hAnsi="Times New Roman;serif"/>
                            <w:b w:val="false"/>
                            <w:color w:val="0000FF"/>
                            <w:sz w:val="20"/>
                            <w:u w:val="single"/>
                          </w:rPr>
                          <w:t>Table of Contents</w:t>
                        </w:r>
                      </w:hyperlink>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FIGURE TECHNOLOGY SOLUTIONS,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tables in thousands, except share and per share data, units, ratios or as otherwise noted)</w:t>
      </w:r>
    </w:p>
    <w:p>
      <w:pPr>
        <w:pStyle w:val="TextBody"/>
        <w:bidi w:val="0"/>
        <w:spacing w:before="0" w:after="180"/>
        <w:jc w:val="center"/>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servicing assets (liabilities), if any, obtained as “Gain on servicing asset, net” in the Consolidated Statements of Operations, and (d) for loans sold, recognizes a realized gain or loss for the difference between the cash proceeds from the sale of loans and the carrying value of the loans sold as “Gain on sale of loans, net” in the Consolidated Statements of Operations.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If the Company has not transferred the entire original financial asset to an entity that is not consolidated and/or when the transferor has continuing involvement with the transferred financial asset that precludes treating the transfer as a sale, the Company retains the financial assets with a related secured borrowing liability for the collateral pledged and does not recognize any gain or loss.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Leases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recognizes right-of-use assets (“ROU”) and lease liabilities for operating leases at the commencement date of the lease based on the present value of remaining fixed and determinable lease payments over the lease term. The Company calculates the present value of future payments by using an estimated incremental borrowing rate, which approximates the rate at which the Company would borrow on a secured basis and over a similar term, and recognizes lease expense for operating leases on a straight-line basis over the lease term. ROU assets represent the Company’s right to control the use of an identified asset for the lease term and lease liabilities represent the Company’s obligation to make lease payments arising from the lease. The Company uses the incremental borrowing rate on the commencement date in determining the present value of the lease payments.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Derivatives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Treasury Note Futures Contracts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enters into long and short treasury note futures contracts to manage its interest rate risk and, from time to time, enhance investment returns. The Company’s derivatives are recorded as either assets or liabilities in the Consolidated Balance Sheets and measured at fair value. The Company’s derivative financial instrument contracts are not designated as accounting hedges under GAAP; accordingly, all changes in fair value are recognized in earnings and are reported as adjustments to net income within operating cash flows in the Consolidated Financial Statements. Any results from settlement of non-designated hedging derivatives are included as realized gains or losses from futures in cash flows from investing activities. The Company estimates the fair value of its derivative instruments as described in Note 12 of these Consolidated Financial Statements.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recorded aggregate net realized and unrealized gains (losses) for derivative assets and liabilities within “Gain on sale of loans, net” in the Consolidated Statements of Operations of $(6.2) million and $0.3 million for the years ended December 31, 2025 and 2024, respectively. The Company did not have any outstanding futures contracts during the year ended December 31, 2023. Any results from the settlement of the Company derivative financial instruments are included as “Realized losses on futures” as an investing cash flow within the Consolidated Statements of Cash Flows.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records derivative assets and liabilities within “Other current liabilities” and “Other current assets” in the Consolidated Balance Sheets. As of December 31, 2025 and December 31, 2024, we recorded the following balances, respectively:</w:t>
      </w:r>
    </w:p>
    <w:tbl>
      <w:tblPr>
        <w:tblW w:w="6839" w:type="dxa"/>
        <w:jc w:val="left"/>
        <w:tblInd w:w="0" w:type="dxa"/>
        <w:tblLayout w:type="fixed"/>
        <w:tblCellMar>
          <w:top w:w="28" w:type="dxa"/>
          <w:left w:w="28" w:type="dxa"/>
          <w:bottom w:w="28" w:type="dxa"/>
          <w:right w:w="28" w:type="dxa"/>
        </w:tblCellMar>
      </w:tblPr>
      <w:tblGrid>
        <w:gridCol w:w="603"/>
        <w:gridCol w:w="530"/>
        <w:gridCol w:w="532"/>
        <w:gridCol w:w="196"/>
        <w:gridCol w:w="736"/>
        <w:gridCol w:w="109"/>
        <w:gridCol w:w="109"/>
        <w:gridCol w:w="109"/>
        <w:gridCol w:w="109"/>
        <w:gridCol w:w="403"/>
        <w:gridCol w:w="868"/>
        <w:gridCol w:w="228"/>
        <w:gridCol w:w="109"/>
        <w:gridCol w:w="109"/>
        <w:gridCol w:w="109"/>
        <w:gridCol w:w="403"/>
        <w:gridCol w:w="868"/>
        <w:gridCol w:w="228"/>
        <w:gridCol w:w="109"/>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current asset:</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Treasury note futures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442 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329 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current liability:</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Treasury note futures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442 </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329 </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Digital Asset Collateral</w:t>
      </w:r>
    </w:p>
    <w:p>
      <w:pPr>
        <w:pStyle w:val="TextBody"/>
        <w:bidi w:val="0"/>
        <w:spacing w:lineRule="auto" w:line="288" w:before="0" w:after="180"/>
        <w:jc w:val="both"/>
        <w:rPr/>
      </w:pPr>
      <w:r>
        <w:rPr>
          <w:rFonts w:ascii="Times New Roman;serif" w:hAnsi="Times New Roman;serif"/>
          <w:b w:val="false"/>
          <w:color w:val="000000"/>
          <w:sz w:val="20"/>
        </w:rPr>
        <w:t xml:space="preserve">Digital asset collateral received in exchange for personal loans is evaluated in accordance with Financial Accounting Standards Board (“FASB”) Accounting Standards Codification Topic (“ASC”) 815, </w:t>
      </w:r>
      <w:r>
        <w:rPr>
          <w:rFonts w:ascii="Times New Roman;serif" w:hAnsi="Times New Roman;serif"/>
          <w:b w:val="false"/>
          <w:i/>
          <w:color w:val="000000"/>
          <w:sz w:val="20"/>
        </w:rPr>
        <w:t>Derivatives and Hedging</w:t>
      </w:r>
      <w:r>
        <w:rPr>
          <w:color w:val="000000"/>
        </w:rPr>
        <w:t xml:space="preserve"> </w:t>
      </w:r>
      <w:r>
        <w:rPr>
          <w:rFonts w:ascii="Times New Roman;serif" w:hAnsi="Times New Roman;serif"/>
          <w:b w:val="false"/>
          <w:color w:val="000000"/>
          <w:sz w:val="20"/>
        </w:rPr>
        <w:t xml:space="preserve">(“ASC 815”) to assess whether such arrangements represent hybrid instruments containing embedded derivative features. The Company’s obligation to return such noncash collateral is therefore accounted for as a hybrid derivative instrument, that is not designated as a hedging instrument, and consists of (i) a liability host contract representing the Company’s obligation to return the crypto assets to the counterparty and (ii) an embedded derivative feature indexed to changes in the fair value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293370"/>
                <wp:effectExtent l="0" t="0" r="0" b="0"/>
                <wp:wrapNone/>
                <wp:docPr id="140" name="Frame138"/>
                <a:graphic xmlns:a="http://schemas.openxmlformats.org/drawingml/2006/main">
                  <a:graphicData uri="http://schemas.microsoft.com/office/word/2010/wordprocessingShape">
                    <wps:wsp>
                      <wps:cNvSpPr txBox="1"/>
                      <wps:spPr>
                        <a:xfrm>
                          <a:off x="0" y="0"/>
                          <a:ext cx="6480175" cy="293370"/>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138</w:t>
                            </w:r>
                          </w:p>
                          <w:p>
                            <w:pPr>
                              <w:pStyle w:val="TextBody"/>
                              <w:bidi w:val="0"/>
                              <w:spacing w:lineRule="auto" w:line="288" w:before="0" w:after="180"/>
                              <w:jc w:val="left"/>
                              <w:rPr/>
                            </w:pPr>
                            <w:hyperlink w:anchor="i8e13d1b6f3764394b0e424082d2ac79f_151">
                              <w:r>
                                <w:rPr>
                                  <w:rStyle w:val="InternetLink"/>
                                  <w:rFonts w:ascii="Times New Roman;serif" w:hAnsi="Times New Roman;serif"/>
                                  <w:b w:val="false"/>
                                  <w:color w:val="0000FF"/>
                                  <w:sz w:val="20"/>
                                  <w:u w:val="single"/>
                                </w:rPr>
                                <w:t>Table of Contents</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138</w:t>
                      </w:r>
                    </w:p>
                    <w:p>
                      <w:pPr>
                        <w:pStyle w:val="TextBody"/>
                        <w:bidi w:val="0"/>
                        <w:spacing w:lineRule="auto" w:line="288" w:before="0" w:after="180"/>
                        <w:jc w:val="left"/>
                        <w:rPr/>
                      </w:pPr>
                      <w:hyperlink w:anchor="i8e13d1b6f3764394b0e424082d2ac79f_151">
                        <w:r>
                          <w:rPr>
                            <w:rStyle w:val="InternetLink"/>
                            <w:rFonts w:ascii="Times New Roman;serif" w:hAnsi="Times New Roman;serif"/>
                            <w:b w:val="false"/>
                            <w:color w:val="0000FF"/>
                            <w:sz w:val="20"/>
                            <w:u w:val="single"/>
                          </w:rPr>
                          <w:t>Table of Contents</w:t>
                        </w:r>
                      </w:hyperlink>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FIGURE TECHNOLOGY SOLUTIONS,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tables in thousands, except share and per share data, units, ratios or as otherwise noted)</w:t>
      </w:r>
    </w:p>
    <w:p>
      <w:pPr>
        <w:pStyle w:val="TextBody"/>
        <w:bidi w:val="0"/>
        <w:spacing w:before="0" w:after="180"/>
        <w:jc w:val="center"/>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underlying crypto asset. The debt host contract and fair value of the embedded derivative are recorded in “Other current liabilities” on the Consolidated Balance Sheets. Changes in the fair value of the collateral asset are offset by changes in the fair value of the embedded derivative and are included within “Other (expense) income, net” and do not have a material effect on the Consolidated Statements of Operations.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elected the fair value option for its fiat-based loan arrangements, including digital asset-backed personal loans, in accordance with ASC 825. As a result of this election, the identified liability host contract is measured at fair value. In accordance with ASC 815-10, an embedded derivative is not required to be bifurcated from its host contract if the hybrid instrument is measured at fair value because the effects of changes in the fair value of the underlying crypto asset are already reflected in the overall fair value remeasurement of the obligation.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Personal loans are generally originated at loan-to-value (“LTV”) ratios ranging from approximately 50% to 75%. If LTV ratios increase beyond established thresholds, including as a result of declines in crypto asset prices, borrowers may be required to pledge additional collateral or the loans may be subject to liquidation in accordance with contractual terms. The collateral is in the Company’s control and the Company has the ability to rehypothecate, stake, lend or otherwise use for liquidity, trading or economic participation purposes; however, the Company does not have a practice of using the collateral for these purposes. The primary risks of the host contracts relate to credit exposure secured by the collateral, and changes in the value of the collateral affect only the performance of the lending arrangements through loan-to-value thresholds, margin requirements, and liquidation provisions.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Income Taxes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Income taxes are accounted for using the asset and liability method, which requires recognition of deferred tax assets and liabilities for the estimated future tax consequences attributable to differences between the financial statement carrying amounts of existing assets and liabilities and their respective tax bases and operating loss and tax credit carryforwards. Deferred tax assets and liabilities are measured using enacted statutory tax rates and laws applicable to future years in which those temporary differences are expected to be realized or recovered or settled. The effect of a change in tax rates on deferred tax assets and liabilities is recognized as an income tax expense (benefit) in the period that includes the enactment date.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records a valuation allowance to reduce deferred tax assets to the amount the Company believes is more-likely-than-not to be realized based on all positive and negative evidence, including consideration of historical and projected taxable income, the expected timing of the reversals of existing temporary differences, and tax planning strategies. If the Company determines all, or part of the net deferred tax assets are not realizable in the future, the Company will record an adjustment to the valuation allowance and a corresponding charge to earnings in the period such determination is made.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recognizes the effect of income tax positions in the consolidated financial statements only if those positions are more-likely-than-not to be sustained upon audit. Recognized income tax positions are measured at the largest amount of tax benefit that is more than 50% likely to be realized upon settlement. Changes in recognition or measurement are recorded in the period in which the change in judgment occurs. The Company records interest and penalties, if any, on income tax uncertainties are classified within income tax expense in the income statement.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determines on a regular basis the amount of undistributed earnings that will be indefinitely reinvested in non-US operations. This assessment is based on the cash flow projections and operational needs of our foreign subsidiaries. The Company intends to permanently reinvest all foreign earnings.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See Note 13 for additional information regarding the Company’s income taxes.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Balance Sheet Measurement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Cash, Cash Equivalents and Restricted Cash</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considers all highly liquid short-term investments with maturities less than 90 days when purchased to be cash equivalents, which are primarily money market funds, short dated treasury securities, overnight repurchase agreements and payment stablecoins for the Company. Substantially all amounts on deposit with federally insured financial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293370"/>
                <wp:effectExtent l="0" t="0" r="0" b="0"/>
                <wp:wrapNone/>
                <wp:docPr id="141" name="Frame139"/>
                <a:graphic xmlns:a="http://schemas.openxmlformats.org/drawingml/2006/main">
                  <a:graphicData uri="http://schemas.microsoft.com/office/word/2010/wordprocessingShape">
                    <wps:wsp>
                      <wps:cNvSpPr txBox="1"/>
                      <wps:spPr>
                        <a:xfrm>
                          <a:off x="0" y="0"/>
                          <a:ext cx="6480175" cy="293370"/>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139</w:t>
                            </w:r>
                          </w:p>
                          <w:p>
                            <w:pPr>
                              <w:pStyle w:val="TextBody"/>
                              <w:bidi w:val="0"/>
                              <w:spacing w:lineRule="auto" w:line="288" w:before="0" w:after="180"/>
                              <w:jc w:val="left"/>
                              <w:rPr/>
                            </w:pPr>
                            <w:hyperlink w:anchor="i8e13d1b6f3764394b0e424082d2ac79f_151">
                              <w:r>
                                <w:rPr>
                                  <w:rStyle w:val="InternetLink"/>
                                  <w:rFonts w:ascii="Times New Roman;serif" w:hAnsi="Times New Roman;serif"/>
                                  <w:b w:val="false"/>
                                  <w:color w:val="0000FF"/>
                                  <w:sz w:val="20"/>
                                  <w:u w:val="single"/>
                                </w:rPr>
                                <w:t>Table of Contents</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139</w:t>
                      </w:r>
                    </w:p>
                    <w:p>
                      <w:pPr>
                        <w:pStyle w:val="TextBody"/>
                        <w:bidi w:val="0"/>
                        <w:spacing w:lineRule="auto" w:line="288" w:before="0" w:after="180"/>
                        <w:jc w:val="left"/>
                        <w:rPr/>
                      </w:pPr>
                      <w:hyperlink w:anchor="i8e13d1b6f3764394b0e424082d2ac79f_151">
                        <w:r>
                          <w:rPr>
                            <w:rStyle w:val="InternetLink"/>
                            <w:rFonts w:ascii="Times New Roman;serif" w:hAnsi="Times New Roman;serif"/>
                            <w:b w:val="false"/>
                            <w:color w:val="0000FF"/>
                            <w:sz w:val="20"/>
                            <w:u w:val="single"/>
                          </w:rPr>
                          <w:t>Table of Contents</w:t>
                        </w:r>
                      </w:hyperlink>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FIGURE TECHNOLOGY SOLUTIONS,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tables in thousands, except share and per share data, units, ratios or as otherwise noted)</w:t>
      </w:r>
    </w:p>
    <w:p>
      <w:pPr>
        <w:pStyle w:val="TextBody"/>
        <w:bidi w:val="0"/>
        <w:spacing w:before="0" w:after="180"/>
        <w:jc w:val="center"/>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institutions exceed insured limits. Restricted cash represents cash held on behalf of third parties, primarily principal and interest collected on behalf of loan investors as part of the Company’s servicing operations and held in restricted accounts.</w:t>
      </w:r>
    </w:p>
    <w:p>
      <w:pPr>
        <w:pStyle w:val="TextBody"/>
        <w:bidi w:val="0"/>
        <w:spacing w:lineRule="auto" w:line="288" w:before="0" w:after="180"/>
        <w:jc w:val="both"/>
        <w:rPr/>
      </w:pPr>
      <w:r>
        <w:rPr>
          <w:rFonts w:ascii="Times New Roman;serif" w:hAnsi="Times New Roman;serif"/>
          <w:b w:val="false"/>
          <w:color w:val="000000"/>
          <w:sz w:val="20"/>
        </w:rPr>
        <w:t xml:space="preserve">The Company considers payment stablecoins cash equivalents as they are readily convertible to known amounts of cash, allowing for near-instant, one-to-one redemption of the payment stablecoins for U.S. dollars. Furthermore, the underlying reserves backing payment stablecoins, comprising cash in segregated accounts titled for benefit of payment stablecoin holders and a government money market fund that holds cash, short-duration U.S. Treasuries, and overnight U.S. Treasury repurchase agreements, exhibit the risk and liquidity characteristics of cash equivalents as defined in ASC 230, </w:t>
      </w:r>
      <w:r>
        <w:rPr>
          <w:rFonts w:ascii="Times New Roman;serif" w:hAnsi="Times New Roman;serif"/>
          <w:b w:val="false"/>
          <w:i/>
          <w:color w:val="000000"/>
          <w:sz w:val="20"/>
        </w:rPr>
        <w:t>Statement of Cash Flows</w:t>
      </w:r>
      <w:r>
        <w:rPr>
          <w:rFonts w:ascii="Times New Roman;serif" w:hAnsi="Times New Roman;serif"/>
          <w:b w:val="false"/>
          <w:color w:val="000000"/>
          <w:sz w:val="20"/>
        </w:rPr>
        <w: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of cash, cash equivalents and restricted cash reported in the Consolidated Balance Sheets to the total of the same amounts shown in the Consolidated Statements of Cash Flows:</w:t>
      </w:r>
    </w:p>
    <w:tbl>
      <w:tblPr>
        <w:tblW w:w="6731" w:type="dxa"/>
        <w:jc w:val="left"/>
        <w:tblInd w:w="0" w:type="dxa"/>
        <w:tblLayout w:type="fixed"/>
        <w:tblCellMar>
          <w:top w:w="28" w:type="dxa"/>
          <w:left w:w="28" w:type="dxa"/>
          <w:bottom w:w="28" w:type="dxa"/>
          <w:right w:w="28" w:type="dxa"/>
        </w:tblCellMar>
      </w:tblPr>
      <w:tblGrid>
        <w:gridCol w:w="1216"/>
        <w:gridCol w:w="1069"/>
        <w:gridCol w:w="1074"/>
        <w:gridCol w:w="250"/>
        <w:gridCol w:w="1111"/>
        <w:gridCol w:w="139"/>
        <w:gridCol w:w="109"/>
        <w:gridCol w:w="109"/>
        <w:gridCol w:w="109"/>
        <w:gridCol w:w="279"/>
        <w:gridCol w:w="1047"/>
        <w:gridCol w:w="219"/>
      </w:tblGrid>
      <w:tr>
        <w:trPr/>
        <w:tc>
          <w:tcPr>
            <w:tcW w:w="1216"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1,159,597 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287,256 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Payment stablecoins</w:t>
            </w:r>
          </w:p>
        </w:tc>
        <w:tc>
          <w:tcPr>
            <w:tcW w:w="1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38,544 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2,414 </w:t>
            </w:r>
          </w:p>
        </w:tc>
        <w:tc>
          <w:tcPr>
            <w:tcW w:w="21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Restricted cash</w:t>
            </w:r>
          </w:p>
        </w:tc>
        <w:tc>
          <w:tcPr>
            <w:tcW w:w="1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68,637 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57,777 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cash, cash equivalents and restricted cash</w:t>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1,266,778 </w:t>
            </w:r>
          </w:p>
        </w:tc>
        <w:tc>
          <w:tcPr>
            <w:tcW w:w="1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347,447 </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rFonts w:ascii="Times New Roman;serif" w:hAnsi="Times New Roman;serif"/>
          <w:b/>
          <w:i/>
          <w:color w:val="000000"/>
          <w:sz w:val="20"/>
        </w:rPr>
      </w:pPr>
      <w:r>
        <w:rPr>
          <w:rFonts w:ascii="Times New Roman;serif" w:hAnsi="Times New Roman;serif"/>
          <w:b/>
          <w:i/>
          <w:color w:val="000000"/>
          <w:sz w:val="20"/>
        </w:rPr>
        <w:t>Accounts receivable, net</w:t>
      </w:r>
    </w:p>
    <w:p>
      <w:pPr>
        <w:pStyle w:val="TextBody"/>
        <w:bidi w:val="0"/>
        <w:spacing w:before="0" w:after="0"/>
        <w:jc w:val="left"/>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components of “Accounts receivable, net” reported in the Consolidated Balance Sheets:</w:t>
      </w:r>
    </w:p>
    <w:tbl>
      <w:tblPr>
        <w:tblW w:w="5741" w:type="dxa"/>
        <w:jc w:val="left"/>
        <w:tblInd w:w="0" w:type="dxa"/>
        <w:tblLayout w:type="fixed"/>
        <w:tblCellMar>
          <w:top w:w="28" w:type="dxa"/>
          <w:left w:w="28" w:type="dxa"/>
          <w:bottom w:w="28" w:type="dxa"/>
          <w:right w:w="28" w:type="dxa"/>
        </w:tblCellMar>
      </w:tblPr>
      <w:tblGrid>
        <w:gridCol w:w="858"/>
        <w:gridCol w:w="754"/>
        <w:gridCol w:w="757"/>
        <w:gridCol w:w="309"/>
        <w:gridCol w:w="1019"/>
        <w:gridCol w:w="172"/>
        <w:gridCol w:w="109"/>
        <w:gridCol w:w="109"/>
        <w:gridCol w:w="109"/>
        <w:gridCol w:w="304"/>
        <w:gridCol w:w="1002"/>
        <w:gridCol w:w="239"/>
      </w:tblGrid>
      <w:tr>
        <w:trPr/>
        <w:tc>
          <w:tcPr>
            <w:tcW w:w="85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Trade accounts receivable</w:t>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30,627 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2,159 </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receivable</w:t>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4,440 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3,214 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6"/>
              </w:rPr>
              <w:t>Subservicer receivable</w:t>
            </w:r>
            <w:r>
              <w:rPr>
                <w:rFonts w:ascii="Times New Roman;serif" w:hAnsi="Times New Roman;serif"/>
                <w:b w:val="false"/>
                <w:color w:val="000000"/>
                <w:sz w:val="10"/>
              </w:rPr>
              <w:t>(A)</w:t>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6,914 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5,313 </w:t>
            </w:r>
          </w:p>
        </w:tc>
        <w:tc>
          <w:tcPr>
            <w:tcW w:w="23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accounts receivable</w:t>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10,355 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10,312 </w:t>
            </w:r>
          </w:p>
        </w:tc>
        <w:tc>
          <w:tcPr>
            <w:tcW w:w="23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Less: Allowance for credit losses</w:t>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(320)</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receivable, net</w:t>
            </w:r>
          </w:p>
        </w:tc>
        <w:tc>
          <w:tcPr>
            <w:tcW w:w="3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52,016 </w:t>
            </w:r>
          </w:p>
        </w:tc>
        <w:tc>
          <w:tcPr>
            <w:tcW w:w="1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20,998 </w:t>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180"/>
        <w:jc w:val="both"/>
        <w:rPr/>
      </w:pPr>
      <w:r>
        <w:rPr>
          <w:rFonts w:ascii="Times New Roman;serif" w:hAnsi="Times New Roman;serif"/>
          <w:b w:val="false"/>
          <w:color w:val="000000"/>
          <w:sz w:val="10"/>
        </w:rPr>
        <w:t xml:space="preserve">(A) </w:t>
      </w:r>
      <w:r>
        <w:rPr>
          <w:rFonts w:ascii="Times New Roman;serif" w:hAnsi="Times New Roman;serif"/>
          <w:b w:val="false"/>
          <w:color w:val="000000"/>
          <w:sz w:val="16"/>
        </w:rPr>
        <w:t>Subservicer receivable consists of loan principal and interest payments collected on behalf of the Company by a subservicer that have not yet been remitted to the Company.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recognizes an allowance for trade accounts receivable based on expected credit losses. The allowance for credit losses is measured based upon the lifetime expected credit loss which is based on the number of days that billings are past due, customer payment behavior, and other customer-specific information.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is exposed to credit risk related to trade accounts receivable. In order to manage credit risk, the Company generally has the right to withhold amounts due from transaction proceeds paid to the customer. At December 31, 2025, trade accounts receivable from four customers individually accounted for approximately 28.8%, 18.6%, 16.8%, and 14.8% of trade accounts receivables. No other customer accounted for 10% or more of trade accounts receivable.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Investments</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Marketable Securities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Upon securitization of loans that the Company originates or purchases in transactions that qualify as sales, the Company is required to retain a certain portion of the securitization trusts into which the loans are sold in the form of debt securities and/ or beneficial or other interests to satisfy risk retention regulations. In each case, the Company elected the fair value option, where applicable, for the securities and other interests acquired at the time of sale, and it carries those securities and other interests at their fair values. Realized and unrealized changes in fair value are recorded as components of “Gain on sale of loans, net” in the Consolidated Statements of Operations resulting in a total increase (decrease) of $3.9 million, $1.1 million and $(2.9) million for the years ended December 31, 2025, 2024, and 2023, respectively.</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Digital Assets Held as Collateral</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holds digital assets held as collateral against personal loans that the Company originates. Recognized customer assets and liabilities comprise customer custodial funds and corresponding customer custodial liabilities that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293370"/>
                <wp:effectExtent l="0" t="0" r="0" b="0"/>
                <wp:wrapNone/>
                <wp:docPr id="142" name="Frame140"/>
                <a:graphic xmlns:a="http://schemas.openxmlformats.org/drawingml/2006/main">
                  <a:graphicData uri="http://schemas.microsoft.com/office/word/2010/wordprocessingShape">
                    <wps:wsp>
                      <wps:cNvSpPr txBox="1"/>
                      <wps:spPr>
                        <a:xfrm>
                          <a:off x="0" y="0"/>
                          <a:ext cx="6480175" cy="293370"/>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140</w:t>
                            </w:r>
                          </w:p>
                          <w:p>
                            <w:pPr>
                              <w:pStyle w:val="TextBody"/>
                              <w:bidi w:val="0"/>
                              <w:spacing w:lineRule="auto" w:line="288" w:before="0" w:after="180"/>
                              <w:jc w:val="left"/>
                              <w:rPr/>
                            </w:pPr>
                            <w:hyperlink w:anchor="i8e13d1b6f3764394b0e424082d2ac79f_151">
                              <w:r>
                                <w:rPr>
                                  <w:rStyle w:val="InternetLink"/>
                                  <w:rFonts w:ascii="Times New Roman;serif" w:hAnsi="Times New Roman;serif"/>
                                  <w:b w:val="false"/>
                                  <w:color w:val="0000FF"/>
                                  <w:sz w:val="20"/>
                                  <w:u w:val="single"/>
                                </w:rPr>
                                <w:t>Table of Contents</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140</w:t>
                      </w:r>
                    </w:p>
                    <w:p>
                      <w:pPr>
                        <w:pStyle w:val="TextBody"/>
                        <w:bidi w:val="0"/>
                        <w:spacing w:lineRule="auto" w:line="288" w:before="0" w:after="180"/>
                        <w:jc w:val="left"/>
                        <w:rPr/>
                      </w:pPr>
                      <w:hyperlink w:anchor="i8e13d1b6f3764394b0e424082d2ac79f_151">
                        <w:r>
                          <w:rPr>
                            <w:rStyle w:val="InternetLink"/>
                            <w:rFonts w:ascii="Times New Roman;serif" w:hAnsi="Times New Roman;serif"/>
                            <w:b w:val="false"/>
                            <w:color w:val="0000FF"/>
                            <w:sz w:val="20"/>
                            <w:u w:val="single"/>
                          </w:rPr>
                          <w:t>Table of Contents</w:t>
                        </w:r>
                      </w:hyperlink>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FIGURE TECHNOLOGY SOLUTIONS,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tables in thousands, except share and per share data, units, ratios or as otherwise noted)</w:t>
      </w:r>
    </w:p>
    <w:p>
      <w:pPr>
        <w:pStyle w:val="TextBody"/>
        <w:bidi w:val="0"/>
        <w:spacing w:before="0" w:after="180"/>
        <w:jc w:val="center"/>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represent the Company’s obligation to return these assets to customers. The digital asset collateral is recognized if the Company obtains control of the collateral. Certain other digital asset collateral is not within the Company’s control, and is therefore not recognized on the Company’s Consolidated Balance Sheets. While the collateral is in the Company’s control, the Company has the ability to use the collateral for loan, margin, rehypothecation, or other similar activities to which the Company or its affiliates are a party; however, the Company chooses not to do so without the customer’s consent.</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Digital Assets Held</w:t>
      </w:r>
    </w:p>
    <w:p>
      <w:pPr>
        <w:pStyle w:val="TextBody"/>
        <w:bidi w:val="0"/>
        <w:spacing w:lineRule="auto" w:line="288" w:before="0" w:after="180"/>
        <w:jc w:val="both"/>
        <w:rPr/>
      </w:pPr>
      <w:r>
        <w:rPr>
          <w:rFonts w:ascii="Times New Roman;serif" w:hAnsi="Times New Roman;serif"/>
          <w:b w:val="false"/>
          <w:color w:val="000000"/>
          <w:sz w:val="20"/>
        </w:rPr>
        <w:t xml:space="preserve">The Company holds and transacts in various digital assets which are homogeneous in their form and represent tokenized, blockchain-enabled technology with utility on distributed ledger networks. The Company’s digital assets are presented within “Digital assets” and “Digital assets, non-current” on the Consolidated Balance Sheets. Primarily, digital assets held by the Company represent contractual rights to receive cash or other financial assets and therefore fit the US GAAP definition of a financial instrument. Such financial instruments are classified as assets or liabilities and are accounted for in accordance with ASC 825 when the fair value option is elected, as well as other relevant US GAAP topics. Certain digital assets qualify for classification as crypto-assets under ASC 350-60, </w:t>
      </w:r>
      <w:r>
        <w:rPr>
          <w:rFonts w:ascii="Times New Roman;serif" w:hAnsi="Times New Roman;serif"/>
          <w:b w:val="false"/>
          <w:i/>
          <w:color w:val="000000"/>
          <w:sz w:val="20"/>
        </w:rPr>
        <w:t>Crypto Assets</w:t>
      </w:r>
      <w:r>
        <w:rPr>
          <w:color w:val="000000"/>
        </w:rPr>
        <w:t xml:space="preserve"> </w:t>
      </w:r>
      <w:r>
        <w:rPr>
          <w:rFonts w:ascii="Times New Roman;serif" w:hAnsi="Times New Roman;serif"/>
          <w:b w:val="false"/>
          <w:color w:val="000000"/>
          <w:sz w:val="20"/>
        </w:rPr>
        <w:t>(“ASC 350-60”), and are recorded and subsequently remeasured at fair value, with gains and losses recorded in earnings. Generally, realized gains and losses on disposition of digital assets held are recognized on a first-in-first-out basis which are influenced by the volume and mix of digital assets received and used, in addition to the timing of asset turnover. Cash flows from digital assets held are generally recorded as supplemental non-cash investing or financing activities in the Consolidated Statements of Cash Flows.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participates in native staking activities when depositing certain crypto-assets directly into blockchain-native staking protocols. In these arrangements, the Company retains control of the deposited crypto-assets and may withdraw them at its discretion in accordance with protocol rules. Therefore, such assets are not derecognized and continue to be reported in “Digital assets” at fair value on the Company’s Consolidated Balance Sheets. Staking rewards earned from native staking activities are generated through participation in network validation and are recognized as “Other (expense) income, net” in the Consolidated Statements of Operations when earned and available. Staking rewards are not material for the years ended December 31, 2025 and 2024.</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deploys certain digital financial assets in the form of payment stablecoins into programmatic lending protocols that operate with native functionality. By supplying digital financial assets to lending pools, the Company participates as a liquidity provider and earns interest income based on overall utilization and prevailing protocol interest rates; as such, the Company retains unilateral rights to withdraw supplied assets at its discretion and subject to protocol withdrawal conditions. Therefore, the supplied assets remain reported within “Cash and cash equivalents” in the Consolidated Balance Sheets consistent with applicable accounting policy. Interest income earned in connection with participation in the protocol is recognized in “Other (expense) income, net” in the Consolidated Statements of Operations when earned.</w:t>
      </w:r>
    </w:p>
    <w:p>
      <w:pPr>
        <w:pStyle w:val="TextBody"/>
        <w:bidi w:val="0"/>
        <w:spacing w:lineRule="auto" w:line="288" w:before="0" w:after="180"/>
        <w:jc w:val="both"/>
        <w:rPr/>
      </w:pPr>
      <w:r>
        <w:rPr>
          <w:rFonts w:ascii="Times New Roman;serif" w:hAnsi="Times New Roman;serif"/>
          <w:b w:val="false"/>
          <w:color w:val="000000"/>
          <w:sz w:val="20"/>
        </w:rPr>
        <w:t xml:space="preserve">The Company participates in decentralized liquidity protocols by supplying digital financial assets to liquidity pools in exchange for receipt tokens. These transactions are accounted for as secured borrowings under ASC 860, </w:t>
      </w:r>
      <w:r>
        <w:rPr>
          <w:rFonts w:ascii="Times New Roman;serif" w:hAnsi="Times New Roman;serif"/>
          <w:b w:val="false"/>
          <w:i/>
          <w:color w:val="000000"/>
          <w:sz w:val="20"/>
        </w:rPr>
        <w:t>Transfers and Servicing</w:t>
      </w:r>
      <w:r>
        <w:rPr>
          <w:rFonts w:ascii="Times New Roman;serif" w:hAnsi="Times New Roman;serif"/>
          <w:b w:val="false"/>
          <w:color w:val="000000"/>
          <w:sz w:val="20"/>
        </w:rPr>
        <w:t>, as the Company maintains effective control over the transferred assets. Digital financial assets in the form of payment stablecoins pledged as collateral remain classified within “Cash and cash equivalents”. The Company recognizes a financial digital financial asset for the receipt tokens received, classified within “Digital assets”, and a corresponding financial liability to redeem such tokens, classified within “Other current liabilities”. The Company has elected the fair value option under ASC 825 for both the receipt token assets and the related redemption liabilities. These instruments are initially measured at transaction price and subsequently remeasured to fair value at each reporting date. Unrealized gains and losses from remeasurement, including transaction-based fees earned by the pool, are recorded as adjustments to the carrying amounts of the asset and liability. In accordance with the economic substance of these arrangements, cumulative gains and losses are recognized in earnings upon redemption and final settlement of the liquidity position.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See Notes 3 and 12 for additional information regarding the Company’s investments and related valuation,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Servicing Rights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Servicing rights represent the contractual right to service the loan that the Company either originates and sells or purchases and sells. Upon loan sale, the Company recognizes a servicing asset at fair value, with realized and unrealized changes in fair value recorded as components of “Gain on servicing asset, net” in the Consolidated Statements of Operations. Realized gains (losses) on servicing rights represent the excess (deficient) expected benefits of servicing that are greater (less) than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293370"/>
                <wp:effectExtent l="0" t="0" r="0" b="0"/>
                <wp:wrapNone/>
                <wp:docPr id="143" name="Frame141"/>
                <a:graphic xmlns:a="http://schemas.openxmlformats.org/drawingml/2006/main">
                  <a:graphicData uri="http://schemas.microsoft.com/office/word/2010/wordprocessingShape">
                    <wps:wsp>
                      <wps:cNvSpPr txBox="1"/>
                      <wps:spPr>
                        <a:xfrm>
                          <a:off x="0" y="0"/>
                          <a:ext cx="6480175" cy="293370"/>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141</w:t>
                            </w:r>
                          </w:p>
                          <w:p>
                            <w:pPr>
                              <w:pStyle w:val="TextBody"/>
                              <w:bidi w:val="0"/>
                              <w:spacing w:lineRule="auto" w:line="288" w:before="0" w:after="180"/>
                              <w:jc w:val="left"/>
                              <w:rPr/>
                            </w:pPr>
                            <w:hyperlink w:anchor="i8e13d1b6f3764394b0e424082d2ac79f_151">
                              <w:r>
                                <w:rPr>
                                  <w:rStyle w:val="InternetLink"/>
                                  <w:rFonts w:ascii="Times New Roman;serif" w:hAnsi="Times New Roman;serif"/>
                                  <w:b w:val="false"/>
                                  <w:color w:val="0000FF"/>
                                  <w:sz w:val="20"/>
                                  <w:u w:val="single"/>
                                </w:rPr>
                                <w:t>Table of Contents</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141</w:t>
                      </w:r>
                    </w:p>
                    <w:p>
                      <w:pPr>
                        <w:pStyle w:val="TextBody"/>
                        <w:bidi w:val="0"/>
                        <w:spacing w:lineRule="auto" w:line="288" w:before="0" w:after="180"/>
                        <w:jc w:val="left"/>
                        <w:rPr/>
                      </w:pPr>
                      <w:hyperlink w:anchor="i8e13d1b6f3764394b0e424082d2ac79f_151">
                        <w:r>
                          <w:rPr>
                            <w:rStyle w:val="InternetLink"/>
                            <w:rFonts w:ascii="Times New Roman;serif" w:hAnsi="Times New Roman;serif"/>
                            <w:b w:val="false"/>
                            <w:color w:val="0000FF"/>
                            <w:sz w:val="20"/>
                            <w:u w:val="single"/>
                          </w:rPr>
                          <w:t>Table of Contents</w:t>
                        </w:r>
                      </w:hyperlink>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FIGURE TECHNOLOGY SOLUTIONS,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tables in thousands, except share and per share data, units, ratios or as otherwise noted)</w:t>
      </w:r>
    </w:p>
    <w:p>
      <w:pPr>
        <w:pStyle w:val="TextBody"/>
        <w:bidi w:val="0"/>
        <w:spacing w:before="0" w:after="180"/>
        <w:jc w:val="center"/>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market compensation for servicing obligations, based on the estimated fair value of servicing rights retained. Servicing rights are aggregated into pools as applicable, and each pool of servicing rights is accounted for in the aggregate as a servicing asset and reported as Loan servicing asset, at fair value in the Consolidated Balance Sheets.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After the sale of loans that the Company services, the Company recognizes the monthly contractual servicing fees it earns, gross of subservicing fees paid to a third party subservicer, based upon the unpaid principal balance (“UPB”) of the underlying loans as revenue, presented as “Servicing fees” in the Consolidated Statements of Operations.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See Notes 4 and 12 for additional information regarding the Company’s servicing rights and valuation,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Loans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Company’s loan portfolio primarily consists of originated or purchased HELOC loans classified as held for sale when management intends to sell the loans. Additionally, the Company originates personal loans collateralized by digital assets. Upon origination or purchase, the Company elects the fair value option for all loans, except for those made to related parties, and carries those loans at their fair value. Realized and unrealized changes in fair value are recorded as components of “Gain on sale of loans, net” in the Consolidated Statements of Operations, resulting in a net gain (loss) of $3.7 million, $16.5 million and $(3.3) million for the years ended December 31, 2025, 2024 and 2023, respectively. Interest receivable of $4.4 million and $3.2 million as of December 31, 2025 and 2024, respectively, is recorded as a component of “Accounts receivable, net” in the Consolidated Balance Sheets.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recognizes loan discounts, if any, on the loans it originates as “Origination fees” in the Consolidated Statements of Operations at time of origination.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See Notes 5 and 12 for additional information regarding the Company’s loans and related valuation, respectively, and see Note 10 for information regarding the Company’s commitments and obligations related to loans the Company holds and sells.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Debt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primarily finances its operations using (a) warehouse credit facilities secured by the loans it originates or acquires (“Funding Debt”), (b) repurchase agreements for the securities it retains upon securitization of those loans, excluding residual interests therein (“Retained Interest Facility”), and (c) a promissory note under a senior secured financing facility whereby the Company pledges certain eligible loan servicing rights, net of expected costs (“MSR Note”).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Each of these borrowing arrangements are treated as collateralized financing transactions and carried at their contractual amounts, excluding accrued interest, as specified in the respective agreements. The carrying amount of the Company’s secured financing agreements and warehouse credit facilities approximates fair value as they are either short-term and/or mark-to-market facilities. The Company pledges certain securities, loans, or other assets as collateral under secured financing agreements and warehouse credit facilities with financial institutions, the terms and conditions of which are governed by each respective lender agreement. Such collateralized financing arrangements generally provide the counterparty the right to rehypothecate the underlying collateral, and the Company discloses in the notes to the financial statements the extent to which such collateral has been pledged. The related collateral and corresponding repurchase liabilities are presented on a gross basis in the financial statements whereby the repurchase liabilities equal the carrying value of the collateral, and any associated interest expense is recognized on a basis consistent with the Company’s other financing arrangements. If the collateral is rehypothecated, the counterparty is obligated to return substantially similar assets upon settlement of the repurchase agreement. The amounts available to be borrowed under repurchase agreements and warehouse credit facilities are dependent upon the fair value of the securities, or unpaid principal balance of loans pledged as collateral, which can fluctuate with changes in interest rates, type of security, and liquidity conditions within the banking, mortgage finance, and real estate industries. The Company manages credit, market, and liquidity risks related to these agreements by sourcing funding from a diverse group of counterparties, providing a range of assets as collateral, and actively monitoring and maintaining margin requirements.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capitalizes and amortizes deferred debt facility costs incurred when entering financing agreements on a straight-line basis over the expected term of term facilities or weighted-average life of the expected principal repayments for revolving credit facilities. The Company recognizes amortization of deferred debt facility costs, as well as deferred amounts written off and contractual interest and fees owed as incurred, as interest expense in its Consolidated Statements of Operations, which does not materially differ from the effective interest method applied to such facilities.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293370"/>
                <wp:effectExtent l="0" t="0" r="0" b="0"/>
                <wp:wrapNone/>
                <wp:docPr id="144" name="Frame142"/>
                <a:graphic xmlns:a="http://schemas.openxmlformats.org/drawingml/2006/main">
                  <a:graphicData uri="http://schemas.microsoft.com/office/word/2010/wordprocessingShape">
                    <wps:wsp>
                      <wps:cNvSpPr txBox="1"/>
                      <wps:spPr>
                        <a:xfrm>
                          <a:off x="0" y="0"/>
                          <a:ext cx="6480175" cy="293370"/>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142</w:t>
                            </w:r>
                          </w:p>
                          <w:p>
                            <w:pPr>
                              <w:pStyle w:val="TextBody"/>
                              <w:bidi w:val="0"/>
                              <w:spacing w:lineRule="auto" w:line="288" w:before="0" w:after="180"/>
                              <w:jc w:val="left"/>
                              <w:rPr/>
                            </w:pPr>
                            <w:hyperlink w:anchor="i8e13d1b6f3764394b0e424082d2ac79f_151">
                              <w:r>
                                <w:rPr>
                                  <w:rStyle w:val="InternetLink"/>
                                  <w:rFonts w:ascii="Times New Roman;serif" w:hAnsi="Times New Roman;serif"/>
                                  <w:b w:val="false"/>
                                  <w:color w:val="0000FF"/>
                                  <w:sz w:val="20"/>
                                  <w:u w:val="single"/>
                                </w:rPr>
                                <w:t>Table of Contents</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142</w:t>
                      </w:r>
                    </w:p>
                    <w:p>
                      <w:pPr>
                        <w:pStyle w:val="TextBody"/>
                        <w:bidi w:val="0"/>
                        <w:spacing w:lineRule="auto" w:line="288" w:before="0" w:after="180"/>
                        <w:jc w:val="left"/>
                        <w:rPr/>
                      </w:pPr>
                      <w:hyperlink w:anchor="i8e13d1b6f3764394b0e424082d2ac79f_151">
                        <w:r>
                          <w:rPr>
                            <w:rStyle w:val="InternetLink"/>
                            <w:rFonts w:ascii="Times New Roman;serif" w:hAnsi="Times New Roman;serif"/>
                            <w:b w:val="false"/>
                            <w:color w:val="0000FF"/>
                            <w:sz w:val="20"/>
                            <w:u w:val="single"/>
                          </w:rPr>
                          <w:t>Table of Contents</w:t>
                        </w:r>
                      </w:hyperlink>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FIGURE TECHNOLOGY SOLUTIONS,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tables in thousands, except share and per share data, units, ratios or as otherwise noted)</w:t>
      </w:r>
    </w:p>
    <w:p>
      <w:pPr>
        <w:pStyle w:val="TextBody"/>
        <w:bidi w:val="0"/>
        <w:spacing w:before="0" w:after="180"/>
        <w:jc w:val="center"/>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Interest payable on debt of $1.4 million and $2.1 million as of December 31, 2025 and 2024, respectively, is recorded as a component of “Accounts payable and accrued liabilities” in the Consolidated Balance Sheets.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also consolidates the Figure Certificate Company (“FCC”) that issues face-amount certificates that trade on blockchain as an interest-bearing stablecoin (“YLDS”), which the Company carries at fair value and expenses financing costs as incurred.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See Note 6 for additional information regarding the Company’s debt.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Other Assets and Liabilities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At December 31, 2025 and 2024, (a) Other current assets primarily included prepaid expenses, distressed asset claims, and exchange market loans receivable, and (b) Other non-current assets primarily included right-of-use lease assets, internally developed software, and other investments. At December 31, 2025 and 2024, Other current liabilities primarily included digital asset collateral repayment obligations, loan indemnification reserve, and other payables.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During the year ended December 31, 2024, the Company expensed $5.0 million of costs it capitalized as other assets in anticipation of raising capital once the Company determined that it was unlikely such costs would provide future benefit.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See Notes 3 and 12 for further information on the digital asset collateral repayment obligation.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Income Recognition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Revenue Recognition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Company’s revenues are substantially comprised of ecosystem and technology fees, loan originations and sales gains or losses, interest income earned on those loans, and loan servicing.</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Within Note 2, see “Loans” for a discussion of revenues recognized as “Origination fees” and “Gain on sale of loans, net”, and see “Servicing” for a discussion of revenue recognized as “Servicing fees” and “Gain on servicing asset, net”, respectively, in the Consolidated Statements of Operations.</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Ecosystem and Technology Fees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components of “Ecosystem and technology fees” in the Consolidated Statements of Operations:</w:t>
      </w:r>
    </w:p>
    <w:tbl>
      <w:tblPr>
        <w:tblW w:w="6311" w:type="dxa"/>
        <w:jc w:val="left"/>
        <w:tblInd w:w="0" w:type="dxa"/>
        <w:tblLayout w:type="fixed"/>
        <w:tblCellMar>
          <w:top w:w="28" w:type="dxa"/>
          <w:left w:w="28" w:type="dxa"/>
          <w:bottom w:w="28" w:type="dxa"/>
          <w:right w:w="28" w:type="dxa"/>
        </w:tblCellMar>
      </w:tblPr>
      <w:tblGrid>
        <w:gridCol w:w="966"/>
        <w:gridCol w:w="850"/>
        <w:gridCol w:w="853"/>
        <w:gridCol w:w="196"/>
        <w:gridCol w:w="736"/>
        <w:gridCol w:w="109"/>
        <w:gridCol w:w="109"/>
        <w:gridCol w:w="109"/>
        <w:gridCol w:w="109"/>
        <w:gridCol w:w="196"/>
        <w:gridCol w:w="646"/>
        <w:gridCol w:w="109"/>
        <w:gridCol w:w="109"/>
        <w:gridCol w:w="109"/>
        <w:gridCol w:w="109"/>
        <w:gridCol w:w="196"/>
        <w:gridCol w:w="646"/>
        <w:gridCol w:w="154"/>
      </w:tblGrid>
      <w:tr>
        <w:trPr/>
        <w:tc>
          <w:tcPr>
            <w:tcW w:w="966"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Years Ended December 31,</w:t>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Ecosystem and technology fees: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Technology offering fees</w:t>
            </w:r>
            <w:r>
              <w:rPr>
                <w:rFonts w:ascii="Times New Roman;serif" w:hAnsi="Times New Roman;serif"/>
                <w:b w:val="false"/>
                <w:color w:val="000000"/>
                <w:sz w:val="10"/>
              </w:rPr>
              <w:t>(A)</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50,646 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Ecosystem fees</w:t>
            </w:r>
            <w:r>
              <w:rPr>
                <w:rFonts w:ascii="Times New Roman;serif" w:hAnsi="Times New Roman;serif"/>
                <w:b w:val="false"/>
                <w:color w:val="000000"/>
                <w:sz w:val="10"/>
              </w:rPr>
              <w:t>(B)</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56,817 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107,463 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10,215 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Program fees</w:t>
            </w:r>
            <w:r>
              <w:rPr>
                <w:rFonts w:ascii="Times New Roman;serif" w:hAnsi="Times New Roman;serif"/>
                <w:b w:val="false"/>
                <w:color w:val="000000"/>
                <w:sz w:val="10"/>
              </w:rPr>
              <w:t>(C)</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ecosystem and technology fees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120,808 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28,314 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10,628 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both"/>
        <w:rPr/>
      </w:pPr>
      <w:r>
        <w:rPr>
          <w:rFonts w:ascii="Times New Roman;serif" w:hAnsi="Times New Roman;serif"/>
          <w:b w:val="false"/>
          <w:color w:val="000000"/>
          <w:sz w:val="10"/>
        </w:rPr>
        <w:t>(A)</w:t>
      </w:r>
      <w:r>
        <w:rPr>
          <w:color w:val="000000"/>
        </w:rPr>
        <w:t>    </w:t>
      </w:r>
      <w:r>
        <w:rPr>
          <w:rFonts w:ascii="Times New Roman;serif" w:hAnsi="Times New Roman;serif"/>
          <w:b w:val="false"/>
          <w:color w:val="000000"/>
          <w:sz w:val="16"/>
        </w:rPr>
        <w:t>Technology</w:t>
      </w:r>
      <w:r>
        <w:rPr>
          <w:color w:val="000000"/>
        </w:rPr>
        <w:t xml:space="preserve"> </w:t>
      </w:r>
      <w:r>
        <w:rPr>
          <w:rFonts w:ascii="Times New Roman;serif" w:hAnsi="Times New Roman;serif"/>
          <w:b w:val="false"/>
          <w:color w:val="000000"/>
          <w:sz w:val="20"/>
        </w:rPr>
        <w:t>o</w:t>
      </w:r>
      <w:r>
        <w:rPr>
          <w:rFonts w:ascii="Times New Roman;serif" w:hAnsi="Times New Roman;serif"/>
          <w:b w:val="false"/>
          <w:color w:val="000000"/>
          <w:sz w:val="16"/>
        </w:rPr>
        <w:t xml:space="preserve">ffering fees include fees that are accounted under ASC 606 as well as $20.6 million for the year ended December 31, 2025 that are in the scope of ASC 310. All technology fees recorded for the years ended December 31, 2024 and 2023 were within the scope of ASC 606. </w:t>
      </w:r>
    </w:p>
    <w:p>
      <w:pPr>
        <w:pStyle w:val="TextBody"/>
        <w:bidi w:val="0"/>
        <w:spacing w:lineRule="auto" w:line="288" w:before="0" w:after="0"/>
        <w:ind w:left="0" w:right="0" w:hanging="180"/>
        <w:jc w:val="both"/>
        <w:rPr/>
      </w:pPr>
      <w:r>
        <w:rPr>
          <w:rFonts w:ascii="Times New Roman;serif" w:hAnsi="Times New Roman;serif"/>
          <w:b w:val="false"/>
          <w:color w:val="000000"/>
          <w:sz w:val="10"/>
        </w:rPr>
        <w:t>(B)    </w:t>
      </w:r>
      <w:r>
        <w:rPr>
          <w:rFonts w:ascii="Times New Roman;serif" w:hAnsi="Times New Roman;serif"/>
          <w:b w:val="false"/>
          <w:color w:val="000000"/>
          <w:sz w:val="16"/>
        </w:rPr>
        <w:t xml:space="preserve">Ecosystem fees include fees that are accounted for under ASC 606 as well as $26.9 million for the year ended December 31, 2025 that are in the scope of ASC 310. All ecosystem fees recorded for the years ended December 31, 2024 and 2023 were within the scope of ASC 606. </w:t>
      </w:r>
    </w:p>
    <w:p>
      <w:pPr>
        <w:pStyle w:val="TextBody"/>
        <w:bidi w:val="0"/>
        <w:spacing w:lineRule="auto" w:line="288" w:before="0" w:after="180"/>
        <w:ind w:left="0" w:right="0" w:hanging="180"/>
        <w:jc w:val="both"/>
        <w:rPr/>
      </w:pPr>
      <w:r>
        <w:rPr>
          <w:rFonts w:ascii="Times New Roman;serif" w:hAnsi="Times New Roman;serif"/>
          <w:b w:val="false"/>
          <w:color w:val="000000"/>
          <w:sz w:val="10"/>
        </w:rPr>
        <w:t>(C)</w:t>
      </w:r>
      <w:r>
        <w:rPr>
          <w:color w:val="000000"/>
        </w:rPr>
        <w:t>    </w:t>
      </w:r>
      <w:r>
        <w:rPr>
          <w:rFonts w:ascii="Times New Roman;serif" w:hAnsi="Times New Roman;serif"/>
          <w:b w:val="false"/>
          <w:color w:val="000000"/>
          <w:sz w:val="16"/>
        </w:rPr>
        <w:t>Program fees are not in the scope of ASC 606</w:t>
      </w:r>
      <w:r>
        <w:rPr>
          <w:rFonts w:ascii="Times New Roman;serif" w:hAnsi="Times New Roman;serif"/>
          <w:b w:val="false"/>
          <w:color w:val="000000"/>
          <w:sz w:val="20"/>
        </w:rPr>
        <w:t xml:space="preserve">. </w:t>
      </w:r>
    </w:p>
    <w:p>
      <w:pPr>
        <w:pStyle w:val="TextBody"/>
        <w:bidi w:val="0"/>
        <w:spacing w:lineRule="auto" w:line="288" w:before="0" w:after="180"/>
        <w:jc w:val="both"/>
        <w:rPr/>
      </w:pPr>
      <w:r>
        <w:rPr>
          <w:rFonts w:ascii="Times New Roman;serif" w:hAnsi="Times New Roman;serif"/>
          <w:b w:val="false"/>
          <w:color w:val="000000"/>
          <w:sz w:val="20"/>
        </w:rPr>
        <w:t xml:space="preserve">The Company recognizes ecosystem and technology fees in accordance with FASB ASC 606, </w:t>
      </w:r>
      <w:r>
        <w:rPr>
          <w:rFonts w:ascii="Times New Roman;serif" w:hAnsi="Times New Roman;serif"/>
          <w:b w:val="false"/>
          <w:i/>
          <w:color w:val="000000"/>
          <w:sz w:val="20"/>
        </w:rPr>
        <w:t>Revenue from Contracts with Customers</w:t>
      </w:r>
      <w:r>
        <w:rPr>
          <w:color w:val="000000"/>
        </w:rPr>
        <w:t xml:space="preserve"> </w:t>
      </w:r>
      <w:r>
        <w:rPr>
          <w:rFonts w:ascii="Times New Roman;serif" w:hAnsi="Times New Roman;serif"/>
          <w:b w:val="false"/>
          <w:color w:val="000000"/>
          <w:sz w:val="20"/>
        </w:rPr>
        <w:t xml:space="preserve">or ASC 310, </w:t>
      </w:r>
      <w:r>
        <w:rPr>
          <w:rFonts w:ascii="Times New Roman;serif" w:hAnsi="Times New Roman;serif"/>
          <w:b w:val="false"/>
          <w:i/>
          <w:color w:val="000000"/>
          <w:sz w:val="20"/>
        </w:rPr>
        <w:t>Receivables</w:t>
      </w:r>
      <w:r>
        <w:rPr>
          <w:rFonts w:ascii="Times New Roman;serif" w:hAnsi="Times New Roman;serif"/>
          <w:b w:val="false"/>
          <w:color w:val="000000"/>
          <w:sz w:val="20"/>
        </w:rPr>
        <w:t>. When the Company is contractually required to purchase a loan on which it earns ecosystem or technology fees, it recognizes the revenue in accordance with ASC 310</w:t>
      </w:r>
      <w:r>
        <w:rPr>
          <w:color w:val="000000"/>
        </w:rPr>
        <w:t xml:space="preserve"> </w:t>
      </w:r>
      <w:r>
        <w:rPr>
          <w:rFonts w:ascii="Times New Roman;serif" w:hAnsi="Times New Roman;serif"/>
          <w:b w:val="false"/>
          <w:color w:val="000000"/>
          <w:sz w:val="20"/>
        </w:rPr>
        <w:t>upon purchase, or origination if the loan seller originates a loan using the Company’s platform, as the Company elects the fair value option for those loans. When the Company does not purchase the loan, it recognizes the revenue in accordance with ASC 606 upon invoicing as the Company elected the practical expedient to recognize revenue in the amount to which the Company has the right to invoice.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293370"/>
                <wp:effectExtent l="0" t="0" r="0" b="0"/>
                <wp:wrapNone/>
                <wp:docPr id="145" name="Frame143"/>
                <a:graphic xmlns:a="http://schemas.openxmlformats.org/drawingml/2006/main">
                  <a:graphicData uri="http://schemas.microsoft.com/office/word/2010/wordprocessingShape">
                    <wps:wsp>
                      <wps:cNvSpPr txBox="1"/>
                      <wps:spPr>
                        <a:xfrm>
                          <a:off x="0" y="0"/>
                          <a:ext cx="6480175" cy="293370"/>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143</w:t>
                            </w:r>
                          </w:p>
                          <w:p>
                            <w:pPr>
                              <w:pStyle w:val="TextBody"/>
                              <w:bidi w:val="0"/>
                              <w:spacing w:lineRule="auto" w:line="288" w:before="0" w:after="180"/>
                              <w:jc w:val="left"/>
                              <w:rPr/>
                            </w:pPr>
                            <w:hyperlink w:anchor="i8e13d1b6f3764394b0e424082d2ac79f_151">
                              <w:r>
                                <w:rPr>
                                  <w:rStyle w:val="InternetLink"/>
                                  <w:rFonts w:ascii="Times New Roman;serif" w:hAnsi="Times New Roman;serif"/>
                                  <w:b w:val="false"/>
                                  <w:color w:val="0000FF"/>
                                  <w:sz w:val="20"/>
                                  <w:u w:val="single"/>
                                </w:rPr>
                                <w:t>Table of Contents</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143</w:t>
                      </w:r>
                    </w:p>
                    <w:p>
                      <w:pPr>
                        <w:pStyle w:val="TextBody"/>
                        <w:bidi w:val="0"/>
                        <w:spacing w:lineRule="auto" w:line="288" w:before="0" w:after="180"/>
                        <w:jc w:val="left"/>
                        <w:rPr/>
                      </w:pPr>
                      <w:hyperlink w:anchor="i8e13d1b6f3764394b0e424082d2ac79f_151">
                        <w:r>
                          <w:rPr>
                            <w:rStyle w:val="InternetLink"/>
                            <w:rFonts w:ascii="Times New Roman;serif" w:hAnsi="Times New Roman;serif"/>
                            <w:b w:val="false"/>
                            <w:color w:val="0000FF"/>
                            <w:sz w:val="20"/>
                            <w:u w:val="single"/>
                          </w:rPr>
                          <w:t>Table of Contents</w:t>
                        </w:r>
                      </w:hyperlink>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FIGURE TECHNOLOGY SOLUTIONS,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tables in thousands, except share and per share data, units, ratios or as otherwise noted)</w:t>
      </w:r>
    </w:p>
    <w:p>
      <w:pPr>
        <w:pStyle w:val="TextBody"/>
        <w:bidi w:val="0"/>
        <w:spacing w:before="0" w:after="180"/>
        <w:jc w:val="center"/>
        <w:rPr/>
      </w:pPr>
      <w:r>
        <w:rPr/>
      </w:r>
    </w:p>
    <w:p>
      <w:pPr>
        <w:pStyle w:val="TextBody"/>
        <w:bidi w:val="0"/>
        <w:spacing w:lineRule="auto" w:line="288" w:before="0" w:after="180"/>
        <w:jc w:val="both"/>
        <w:rPr/>
      </w:pPr>
      <w:r>
        <w:rPr>
          <w:rFonts w:ascii="Times New Roman;serif" w:hAnsi="Times New Roman;serif"/>
          <w:b w:val="false"/>
          <w:color w:val="000000"/>
          <w:sz w:val="20"/>
        </w:rPr>
        <w:t xml:space="preserve">At the Company’s discretion and subject to its right of first refusal, the Company may purchase loans originated using its Technology Offering and account for such purchases in accordance with ASC 860, </w:t>
      </w:r>
      <w:r>
        <w:rPr>
          <w:rFonts w:ascii="Times New Roman;serif" w:hAnsi="Times New Roman;serif"/>
          <w:b w:val="false"/>
          <w:i/>
          <w:color w:val="000000"/>
          <w:sz w:val="20"/>
        </w:rPr>
        <w:t xml:space="preserve">Transfers and Servicing, </w:t>
      </w:r>
      <w:r>
        <w:rPr>
          <w:rFonts w:ascii="Times New Roman;serif" w:hAnsi="Times New Roman;serif"/>
          <w:b w:val="false"/>
          <w:color w:val="000000"/>
          <w:sz w:val="20"/>
        </w:rPr>
        <w:t>classified as Loans held for sale, at fair value in the Consolidated Balance Sheets as the Company intends to resell these loans to third-party loan investors while retaining servicing rights.</w:t>
      </w:r>
    </w:p>
    <w:p>
      <w:pPr>
        <w:pStyle w:val="TextBody"/>
        <w:bidi w:val="0"/>
        <w:spacing w:lineRule="auto" w:line="288" w:before="0" w:after="18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Ecosystem Fees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provides certain loan originators access to its custom-built marketplace platform to facilitate the origination, buying, and selling of standardized assets originated through its loan origination system in exchange for fees to use its technology for origination. The provision of continuous stand-ready access to this platform is the Company’s only performance obligation. Accordingly, the performance obligation is satisfied when each loan is originated and the Company has the right to invoice the loan originator upon origination. Loan originators can access the platform until their status is terminated via written notice by either the loan originator or the Company.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elected to use the as-invoiced practical expedient to recognize revenue associated with this subscription as the invoiced amount directly corresponds to the value to the loan originator of the Company’s performance obligation completed to date since the platform no longer provides any further utility to the loan originator after loan origination.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Ecosystem fees are one-time fees applied on a loan-by-loan basis, and invoiced monthly based on the monthly funded volume the loan originator originated in the previous complete calendar month. The fees are based on a sliding scale that decreases as higher volume tiers are reached, with some loan originators subject to a minimum fee threshold applicable to higher volume tiers. The Company assesses the tiered volume on a month-to-month basis and volume applied to tiers reached in any given month does not apply to future periods. </w:t>
      </w:r>
    </w:p>
    <w:p>
      <w:pPr>
        <w:pStyle w:val="TextBody"/>
        <w:bidi w:val="0"/>
        <w:spacing w:lineRule="auto" w:line="288" w:before="0" w:after="18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Technology Fees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earns volume-based technology and processing fees, based on the principal balance of each loan originated from our originator partners, excluding wholesale brokers, using the Technology Offering, access to which represents the Company’s sole performance obligation that is satisfied upon each loan transaction, as well as a fee associated with the execution of loan sales. The Technology Offering enables partners, who are retail and wholesale lenders, to originate loans branded under each partner’s name, through access to a suite of services such as loan application, submission and verification, risk underwriting, and electronic loan offer and documentation delivery for borrower execution.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bills a fixed percentage for each loan originated and generally bills associated fees on a monthly basis with customary payment terms. As such, the Company’s contracts with customers do not include a significant financing component.</w:t>
      </w:r>
    </w:p>
    <w:p>
      <w:pPr>
        <w:pStyle w:val="TextBody"/>
        <w:bidi w:val="0"/>
        <w:spacing w:lineRule="auto" w:line="288" w:before="0" w:after="18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Program Fees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earns a fee for arranging and facilitating the transfer of financials assets through the securitization of HELOCs, for which the Company accounts under ASC 860. This fee is based on the outstanding principal balance of the transferred HELOC and is fully earned and paid on the securitization closing date.</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Interest Income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earns interest income primarily from the following sources: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i/>
          <w:color w:val="000000"/>
          <w:sz w:val="20"/>
        </w:rPr>
        <w:t>Loans</w:t>
      </w:r>
      <w:r>
        <w:rPr>
          <w:color w:val="000000"/>
        </w:rPr>
        <w:t xml:space="preserve"> — </w:t>
      </w:r>
      <w:r>
        <w:rPr>
          <w:rFonts w:ascii="Times New Roman;serif" w:hAnsi="Times New Roman;serif"/>
          <w:b w:val="false"/>
          <w:color w:val="000000"/>
          <w:sz w:val="20"/>
        </w:rPr>
        <w:t>The Company accrues interest income on loans it holds based on the UPB outstanding at contractual interest rates, reported as “Interest income” in the Consolidated Statements of Operations. Loans are placed on nonaccrual status when they become 90 days past due (30 days past due for collateralized personal loans) or when management doubts full recovery of interest and principal. Loans are considered past due when contractually required principal or interest payments have not been made on the due dates. When a loan is placed on nonaccrual status, the accrued and unpaid interest is reversed as a reduction of interest income and accrued interest receivable. Interest income is subsequently recognized only to the extent cash payments are received or when the loan has been placed back in accrual status. Loans are restored to accrual status when the loan becomes current and management expects repayment of the remaining contractual principal and interest. The Company also recognizes cash received on non-accrual loans as interest income after all contractual principal is repaid or expects collection of the remaining UPB.</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293370"/>
                <wp:effectExtent l="0" t="0" r="0" b="0"/>
                <wp:wrapNone/>
                <wp:docPr id="146" name="Frame144"/>
                <a:graphic xmlns:a="http://schemas.openxmlformats.org/drawingml/2006/main">
                  <a:graphicData uri="http://schemas.microsoft.com/office/word/2010/wordprocessingShape">
                    <wps:wsp>
                      <wps:cNvSpPr txBox="1"/>
                      <wps:spPr>
                        <a:xfrm>
                          <a:off x="0" y="0"/>
                          <a:ext cx="6480175" cy="293370"/>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144</w:t>
                            </w:r>
                          </w:p>
                          <w:p>
                            <w:pPr>
                              <w:pStyle w:val="TextBody"/>
                              <w:bidi w:val="0"/>
                              <w:spacing w:lineRule="auto" w:line="288" w:before="0" w:after="180"/>
                              <w:jc w:val="left"/>
                              <w:rPr/>
                            </w:pPr>
                            <w:hyperlink w:anchor="i8e13d1b6f3764394b0e424082d2ac79f_151">
                              <w:r>
                                <w:rPr>
                                  <w:rStyle w:val="InternetLink"/>
                                  <w:rFonts w:ascii="Times New Roman;serif" w:hAnsi="Times New Roman;serif"/>
                                  <w:b w:val="false"/>
                                  <w:color w:val="0000FF"/>
                                  <w:sz w:val="20"/>
                                  <w:u w:val="single"/>
                                </w:rPr>
                                <w:t>Table of Contents</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144</w:t>
                      </w:r>
                    </w:p>
                    <w:p>
                      <w:pPr>
                        <w:pStyle w:val="TextBody"/>
                        <w:bidi w:val="0"/>
                        <w:spacing w:lineRule="auto" w:line="288" w:before="0" w:after="180"/>
                        <w:jc w:val="left"/>
                        <w:rPr/>
                      </w:pPr>
                      <w:hyperlink w:anchor="i8e13d1b6f3764394b0e424082d2ac79f_151">
                        <w:r>
                          <w:rPr>
                            <w:rStyle w:val="InternetLink"/>
                            <w:rFonts w:ascii="Times New Roman;serif" w:hAnsi="Times New Roman;serif"/>
                            <w:b w:val="false"/>
                            <w:color w:val="0000FF"/>
                            <w:sz w:val="20"/>
                            <w:u w:val="single"/>
                          </w:rPr>
                          <w:t>Table of Contents</w:t>
                        </w:r>
                      </w:hyperlink>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FIGURE TECHNOLOGY SOLUTIONS,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tables in thousands, except share and per share data, units, ratios or as otherwise noted)</w:t>
      </w:r>
    </w:p>
    <w:p>
      <w:pPr>
        <w:pStyle w:val="TextBody"/>
        <w:bidi w:val="0"/>
        <w:spacing w:before="0" w:after="180"/>
        <w:jc w:val="center"/>
        <w:rPr/>
      </w:pPr>
      <w:r>
        <w:rPr/>
      </w:r>
    </w:p>
    <w:p>
      <w:pPr>
        <w:pStyle w:val="TextBody"/>
        <w:bidi w:val="0"/>
        <w:spacing w:lineRule="auto" w:line="288" w:before="0" w:after="180"/>
        <w:ind w:left="0" w:right="0" w:hanging="360"/>
        <w:jc w:val="both"/>
        <w:rPr/>
      </w:pPr>
      <w:r>
        <w:rPr>
          <w:color w:val="000000"/>
        </w:rPr>
        <w:t>•</w:t>
      </w:r>
      <w:r>
        <w:rPr>
          <w:rFonts w:ascii="Times New Roman;serif" w:hAnsi="Times New Roman;serif"/>
          <w:b w:val="false"/>
          <w:i/>
          <w:color w:val="000000"/>
          <w:sz w:val="20"/>
        </w:rPr>
        <w:t>Marketable Securities</w:t>
      </w:r>
      <w:r>
        <w:rPr>
          <w:color w:val="000000"/>
        </w:rPr>
        <w:t xml:space="preserve"> — </w:t>
      </w:r>
      <w:r>
        <w:rPr>
          <w:rFonts w:ascii="Times New Roman;serif" w:hAnsi="Times New Roman;serif"/>
          <w:b w:val="false"/>
          <w:color w:val="000000"/>
          <w:sz w:val="20"/>
        </w:rPr>
        <w:t>The Company recognizes interest income on debt securities where the Company expects to collect all contractual cash flows, and the debt security cannot be contractually prepaid in such a way that the Company would not recover substantially all of its recorded investment based on the stated coupon rate and the outstanding principal amount of the debt security. The Company recognizes interest income on beneficial interests based on the investment’s accretable yield, which represents the difference between the expected undiscounted cash flows and the carrying value of the investment. The Company recognizes the accretable yield as interest income on a prospective level yield basis over the life of the expected cash flows. Changes in the amount or timing of actual or expected cash flows may change the accretable yield, and the Company adjusts interest income recognized in future periods using a recalculated level yield applied to the then-current carrying value. Increases (decreases) in the amount of cash flows or acceleration (deceleration) of cash flows, in isolation, generally increase (decrease) the interest income recognized in future periods.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i/>
          <w:color w:val="000000"/>
          <w:sz w:val="20"/>
        </w:rPr>
        <w:t>Cash and Cash Equivalents</w:t>
      </w:r>
      <w:r>
        <w:rPr>
          <w:color w:val="000000"/>
        </w:rPr>
        <w:t xml:space="preserve"> — </w:t>
      </w:r>
      <w:r>
        <w:rPr>
          <w:rFonts w:ascii="Times New Roman;serif" w:hAnsi="Times New Roman;serif"/>
          <w:b w:val="false"/>
          <w:color w:val="000000"/>
          <w:sz w:val="20"/>
        </w:rPr>
        <w:t>The Company accrues interest income for cash held at depository institutions and investments in short-term instruments, such as money-market funds and U.S. Treasury Bills, and through repurchase agreements that are collateralized by U.S. Treasury Bills.</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Other Revenue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Other revenue primarily consists of gains (losses) on the Company’s investments in certain entities and fees earned on marketing services provided for partners during the years ended December 31, 2025, 2024 and 2023. See Note 3 for additional information regarding the Company’s equity method investments.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Expense Recognition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Due to the nature of its business model, the Company does not present cost of revenue as a separate line item on the Consolidated Statements of Operations. Costs attributable to ASC 606 revenue generation are limited to those directly incurred as a result of revenue transactions accounted for in accordance with ASC 606 and are included within “Operations and processing”. Other costs, such as cloud hosting fees, amortization of capitalized software, and compensation are not considered cost of revenue as they are not incurred solely as a result of ASC 606 revenue-generating activity and would be incurred regardless of such transactions.</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Operating Costs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presents stock-based compensation, software costs, and other operational expenses within the following functional groups based on the headcount allocable to each group and the specific operation of each group:</w:t>
      </w:r>
    </w:p>
    <w:p>
      <w:pPr>
        <w:pStyle w:val="TextBody"/>
        <w:bidi w:val="0"/>
        <w:spacing w:lineRule="auto" w:line="288" w:before="0" w:after="180"/>
        <w:ind w:left="0" w:right="0" w:hanging="360"/>
        <w:jc w:val="both"/>
        <w:rPr/>
      </w:pPr>
      <w:r>
        <w:rPr>
          <w:color w:val="000000"/>
        </w:rPr>
        <w:t>•</w:t>
      </w:r>
      <w:r>
        <w:rPr>
          <w:rFonts w:ascii="Times New Roman;serif" w:hAnsi="Times New Roman;serif"/>
          <w:b w:val="false"/>
          <w:i/>
          <w:color w:val="000000"/>
          <w:sz w:val="20"/>
        </w:rPr>
        <w:t>General and Administrative</w:t>
      </w:r>
      <w:r>
        <w:rPr>
          <w:color w:val="000000"/>
        </w:rPr>
        <w:t xml:space="preserve"> — </w:t>
      </w:r>
      <w:r>
        <w:rPr>
          <w:rFonts w:ascii="Times New Roman;serif" w:hAnsi="Times New Roman;serif"/>
          <w:b w:val="false"/>
          <w:color w:val="000000"/>
          <w:sz w:val="20"/>
        </w:rPr>
        <w:t>Corporate activities not allocable to the other groups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i/>
          <w:color w:val="000000"/>
          <w:sz w:val="20"/>
        </w:rPr>
        <w:t>Technology and product development</w:t>
      </w:r>
      <w:r>
        <w:rPr>
          <w:color w:val="000000"/>
        </w:rPr>
        <w:t xml:space="preserve"> — </w:t>
      </w:r>
      <w:r>
        <w:rPr>
          <w:rFonts w:ascii="Times New Roman;serif" w:hAnsi="Times New Roman;serif"/>
          <w:b w:val="false"/>
          <w:color w:val="000000"/>
          <w:sz w:val="20"/>
        </w:rPr>
        <w:t>Development and maintenance of the Technology Offering</w:t>
      </w:r>
    </w:p>
    <w:p>
      <w:pPr>
        <w:pStyle w:val="TextBody"/>
        <w:bidi w:val="0"/>
        <w:spacing w:lineRule="auto" w:line="288" w:before="0" w:after="180"/>
        <w:ind w:left="0" w:right="0" w:hanging="360"/>
        <w:jc w:val="both"/>
        <w:rPr/>
      </w:pPr>
      <w:r>
        <w:rPr>
          <w:color w:val="000000"/>
        </w:rPr>
        <w:t>•</w:t>
      </w:r>
      <w:r>
        <w:rPr>
          <w:rFonts w:ascii="Times New Roman;serif" w:hAnsi="Times New Roman;serif"/>
          <w:b w:val="false"/>
          <w:i/>
          <w:color w:val="000000"/>
          <w:sz w:val="20"/>
        </w:rPr>
        <w:t>Operations and processing</w:t>
      </w:r>
      <w:r>
        <w:rPr>
          <w:color w:val="000000"/>
        </w:rPr>
        <w:t xml:space="preserve"> — </w:t>
      </w:r>
      <w:r>
        <w:rPr>
          <w:rFonts w:ascii="Times New Roman;serif" w:hAnsi="Times New Roman;serif"/>
          <w:b w:val="false"/>
          <w:color w:val="000000"/>
          <w:sz w:val="20"/>
        </w:rPr>
        <w:t>Loan underwriting, origination, and servicing</w:t>
      </w:r>
    </w:p>
    <w:p>
      <w:pPr>
        <w:pStyle w:val="TextBody"/>
        <w:bidi w:val="0"/>
        <w:spacing w:lineRule="auto" w:line="288" w:before="0" w:after="180"/>
        <w:ind w:left="0" w:right="0" w:hanging="360"/>
        <w:jc w:val="both"/>
        <w:rPr/>
      </w:pPr>
      <w:r>
        <w:rPr>
          <w:color w:val="000000"/>
        </w:rPr>
        <w:t>•</w:t>
      </w:r>
      <w:r>
        <w:rPr>
          <w:rFonts w:ascii="Times New Roman;serif" w:hAnsi="Times New Roman;serif"/>
          <w:b w:val="false"/>
          <w:i/>
          <w:color w:val="000000"/>
          <w:sz w:val="20"/>
        </w:rPr>
        <w:t>Sales and marketing</w:t>
      </w:r>
      <w:r>
        <w:rPr>
          <w:color w:val="000000"/>
        </w:rPr>
        <w:t xml:space="preserve"> — </w:t>
      </w:r>
      <w:r>
        <w:rPr>
          <w:rFonts w:ascii="Times New Roman;serif" w:hAnsi="Times New Roman;serif"/>
          <w:b w:val="false"/>
          <w:color w:val="000000"/>
          <w:sz w:val="20"/>
        </w:rPr>
        <w:t>Advertising, marketing, and sales</w:t>
      </w:r>
    </w:p>
    <w:p>
      <w:pPr>
        <w:pStyle w:val="TextBody"/>
        <w:bidi w:val="0"/>
        <w:spacing w:lineRule="auto" w:line="288" w:before="0" w:after="18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Stock-Based Compensation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issues stock options and RSUs to employees and non-employees, including directors and consultants. Stock options are initially measured at fair value at the date of grant using a Black-Scholes option-pricing model, and RSUs are measured at the fair market value of the Company’s common stock at the grant date.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For RSUs that include a market condition, the grant-date fair value is estimated using a Monte Carlo simulation model, which incorporates assumptions regarding the expected volatility of the Company’s common stock and other market-related factors. Compensation expense for such awards is recognized over the requisite service period, regardless of whether the market condition is ultimately satisfied.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Stock-based compensation expense for options and RSUs is recognized based on the respective grant-date fair values. For awards that include a performance-based vesting requirement, the Company recognizes expense when it is probable that the performance-based condition is satisfied and the award has satisfied other vesting conditions, if any. The Company recognizes compensation expense over the requisite service period, generally on a straight-line basis for awards that vest solely based on continued service, or immediately if there is no service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293370"/>
                <wp:effectExtent l="0" t="0" r="0" b="0"/>
                <wp:wrapNone/>
                <wp:docPr id="147" name="Frame145"/>
                <a:graphic xmlns:a="http://schemas.openxmlformats.org/drawingml/2006/main">
                  <a:graphicData uri="http://schemas.microsoft.com/office/word/2010/wordprocessingShape">
                    <wps:wsp>
                      <wps:cNvSpPr txBox="1"/>
                      <wps:spPr>
                        <a:xfrm>
                          <a:off x="0" y="0"/>
                          <a:ext cx="6480175" cy="293370"/>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145</w:t>
                            </w:r>
                          </w:p>
                          <w:p>
                            <w:pPr>
                              <w:pStyle w:val="TextBody"/>
                              <w:bidi w:val="0"/>
                              <w:spacing w:lineRule="auto" w:line="288" w:before="0" w:after="180"/>
                              <w:jc w:val="left"/>
                              <w:rPr/>
                            </w:pPr>
                            <w:hyperlink w:anchor="i8e13d1b6f3764394b0e424082d2ac79f_151">
                              <w:r>
                                <w:rPr>
                                  <w:rStyle w:val="InternetLink"/>
                                  <w:rFonts w:ascii="Times New Roman;serif" w:hAnsi="Times New Roman;serif"/>
                                  <w:b w:val="false"/>
                                  <w:color w:val="0000FF"/>
                                  <w:sz w:val="20"/>
                                  <w:u w:val="single"/>
                                </w:rPr>
                                <w:t>Table of Contents</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145</w:t>
                      </w:r>
                    </w:p>
                    <w:p>
                      <w:pPr>
                        <w:pStyle w:val="TextBody"/>
                        <w:bidi w:val="0"/>
                        <w:spacing w:lineRule="auto" w:line="288" w:before="0" w:after="180"/>
                        <w:jc w:val="left"/>
                        <w:rPr/>
                      </w:pPr>
                      <w:hyperlink w:anchor="i8e13d1b6f3764394b0e424082d2ac79f_151">
                        <w:r>
                          <w:rPr>
                            <w:rStyle w:val="InternetLink"/>
                            <w:rFonts w:ascii="Times New Roman;serif" w:hAnsi="Times New Roman;serif"/>
                            <w:b w:val="false"/>
                            <w:color w:val="0000FF"/>
                            <w:sz w:val="20"/>
                            <w:u w:val="single"/>
                          </w:rPr>
                          <w:t>Table of Contents</w:t>
                        </w:r>
                      </w:hyperlink>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FIGURE TECHNOLOGY SOLUTIONS,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tables in thousands, except share and per share data, units, ratios or as otherwise noted)</w:t>
      </w:r>
    </w:p>
    <w:p>
      <w:pPr>
        <w:pStyle w:val="TextBody"/>
        <w:bidi w:val="0"/>
        <w:spacing w:before="0" w:after="180"/>
        <w:jc w:val="center"/>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elects to account for forfeitures as they occur.</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See Note 7 for additional information regarding the Company’s stock-based compensation.</w:t>
      </w:r>
    </w:p>
    <w:p>
      <w:pPr>
        <w:pStyle w:val="TextBody"/>
        <w:bidi w:val="0"/>
        <w:spacing w:lineRule="auto" w:line="288" w:before="0" w:after="18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Software Costs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incurs costs associated with the development, maintenance, purchase, and licensing of software. The Company expenses costs to maintain software, preliminary stage costs incurred before development commences, and other costs required by GAAP, presented as operating costs, aggregated by most closely associated functional group, in the Consolidated Statements of Operations. The Company capitalizes remaining costs as permitted by GAAP, including costs associated with substantively new software functionality for internal use and technologically feasible software for external use that the Company evaluates for impairment at least quarterly. Once internally-developed software is substantively complete and ready for intended use or upon release of software for external use, the Company amortizes capitalized costs over the estimated useful lives on a straight-line basis within “Technology and product development” expense in the Consolidated Statements of Operations as follows:</w:t>
      </w:r>
    </w:p>
    <w:tbl>
      <w:tblPr>
        <w:tblW w:w="8123" w:type="dxa"/>
        <w:jc w:val="left"/>
        <w:tblInd w:w="0" w:type="dxa"/>
        <w:tblLayout w:type="fixed"/>
        <w:tblCellMar>
          <w:top w:w="28" w:type="dxa"/>
          <w:left w:w="28" w:type="dxa"/>
          <w:bottom w:w="28" w:type="dxa"/>
          <w:right w:w="28" w:type="dxa"/>
        </w:tblCellMar>
      </w:tblPr>
      <w:tblGrid>
        <w:gridCol w:w="791"/>
        <w:gridCol w:w="698"/>
        <w:gridCol w:w="700"/>
        <w:gridCol w:w="744"/>
        <w:gridCol w:w="744"/>
        <w:gridCol w:w="747"/>
        <w:gridCol w:w="109"/>
        <w:gridCol w:w="109"/>
        <w:gridCol w:w="109"/>
        <w:gridCol w:w="282"/>
        <w:gridCol w:w="1061"/>
        <w:gridCol w:w="157"/>
        <w:gridCol w:w="109"/>
        <w:gridCol w:w="109"/>
        <w:gridCol w:w="109"/>
        <w:gridCol w:w="304"/>
        <w:gridCol w:w="1002"/>
        <w:gridCol w:w="239"/>
      </w:tblGrid>
      <w:tr>
        <w:trPr/>
        <w:tc>
          <w:tcPr>
            <w:tcW w:w="791"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Estimated Useful Life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Internally developed software</w:t>
            </w:r>
          </w:p>
        </w:tc>
        <w:tc>
          <w:tcPr>
            <w:tcW w:w="22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101,873 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80,664 </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Accumulated amortization</w:t>
            </w:r>
            <w:r>
              <w:rPr>
                <w:rFonts w:ascii="Times New Roman;serif" w:hAnsi="Times New Roman;serif"/>
                <w:b w:val="false"/>
                <w:color w:val="000000"/>
                <w:sz w:val="10"/>
              </w:rPr>
              <w:t>(A)</w:t>
            </w:r>
          </w:p>
        </w:tc>
        <w:tc>
          <w:tcPr>
            <w:tcW w:w="2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(73,704)</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(57,503)</w:t>
            </w:r>
          </w:p>
        </w:tc>
        <w:tc>
          <w:tcPr>
            <w:tcW w:w="2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w:t>
            </w:r>
          </w:p>
        </w:tc>
        <w:tc>
          <w:tcPr>
            <w:tcW w:w="2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28,169 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23,161 </w:t>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both"/>
        <w:rPr/>
      </w:pPr>
      <w:r>
        <w:rPr>
          <w:rFonts w:ascii="Times New Roman;serif" w:hAnsi="Times New Roman;serif"/>
          <w:b w:val="false"/>
          <w:color w:val="000000"/>
          <w:sz w:val="10"/>
        </w:rPr>
        <w:t>(A)    </w:t>
      </w:r>
      <w:r>
        <w:rPr>
          <w:rFonts w:ascii="Times New Roman;serif" w:hAnsi="Times New Roman;serif"/>
          <w:b w:val="false"/>
          <w:color w:val="000000"/>
          <w:sz w:val="16"/>
        </w:rPr>
        <w:t>The Company amortized $16.3 million, $17.1 million, and $19.4 million of capitalized internally-developed software costs during the years ended</w:t>
      </w:r>
      <w:r>
        <w:rPr>
          <w:color w:val="000000"/>
        </w:rPr>
        <w:t xml:space="preserve"> </w:t>
      </w:r>
      <w:r>
        <w:rPr>
          <w:rFonts w:ascii="Times New Roman;serif" w:hAnsi="Times New Roman;serif"/>
          <w:b w:val="false"/>
          <w:color w:val="000000"/>
          <w:sz w:val="16"/>
        </w:rPr>
        <w:t>December 31, 2025, 2024 and</w:t>
      </w:r>
      <w:r>
        <w:rPr>
          <w:color w:val="000000"/>
        </w:rPr>
        <w:t xml:space="preserve"> </w:t>
      </w:r>
      <w:r>
        <w:rPr>
          <w:rFonts w:ascii="Times New Roman;serif" w:hAnsi="Times New Roman;serif"/>
          <w:b w:val="false"/>
          <w:color w:val="000000"/>
          <w:sz w:val="16"/>
        </w:rPr>
        <w:t>2023, respectively.</w:t>
      </w:r>
    </w:p>
    <w:p>
      <w:pPr>
        <w:pStyle w:val="TextBody"/>
        <w:bidi w:val="0"/>
        <w:spacing w:before="0" w:after="0"/>
        <w:ind w:left="0" w:right="0" w:hanging="180"/>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year ended December 31, 2024, the Company impaired and wrote-off $6.3 million of software it developed that it intended to use to offer equity management services, but that the Company did not ultimately offer, as well as $2.3 million of software it purchased to administer its exchange platform, but that the Company no longer planned to use as intended since the seller subsequently provided enhanced technology services that made the impaired software obsolete. Accordingly, the Company recognized an aggregate impairment of $8.6 million in “Other (expense) income, net” in the Consolidated Statements of Operations in connection with this software during the year ended December 31, 2024, respectively. The Company had no related impairments as of the year ended December 31, 2025. </w:t>
      </w:r>
    </w:p>
    <w:p>
      <w:pPr>
        <w:pStyle w:val="TextBody"/>
        <w:bidi w:val="0"/>
        <w:spacing w:lineRule="auto" w:line="288" w:before="0" w:after="18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Other Operational Costs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addition to stock-based compensation and software costs, the Company primarily incurs costs related to salaries and bonuses of its employees that it accrues on a quarterly basis, or annually for bonuses based on annual service requirements, as well as costs it expenses as incurred, including advertising and promotion; loan underwriting, origination, and servicing; legal, audit, and other professional services; rent; and other general and administrative costs. Sales and marketing costs, including marketing services, direct mail, and digital advertising campaigns, are expensed as incurred. Sales and marketing costs for the years ended December 31, 2025, 2024 and 2023 were $76.1 million, $55.7 million, and $52.8 million, respectively, which included $63.9 million, $50.1 million and $46.5 million of advertising expense,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Other (expense) income, net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For the years ended December 31, 2025 and 2024, “Other (expense) income, net” included changes in the fair value of digital assets, realized gains and losses incurred on the sale of digital assets held for sale, gains on legal settlement, and impairment of internally developed software.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Recently Issued Accounting Standards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With the exception of those discussed below, there have not been recent changes in accounting pronouncements issued by the FASB that are applicable to, or adopted by, the Company during the year ended December 31,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293370"/>
                <wp:effectExtent l="0" t="0" r="0" b="0"/>
                <wp:wrapNone/>
                <wp:docPr id="148" name="Frame146"/>
                <a:graphic xmlns:a="http://schemas.openxmlformats.org/drawingml/2006/main">
                  <a:graphicData uri="http://schemas.microsoft.com/office/word/2010/wordprocessingShape">
                    <wps:wsp>
                      <wps:cNvSpPr txBox="1"/>
                      <wps:spPr>
                        <a:xfrm>
                          <a:off x="0" y="0"/>
                          <a:ext cx="6480175" cy="293370"/>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146</w:t>
                            </w:r>
                          </w:p>
                          <w:p>
                            <w:pPr>
                              <w:pStyle w:val="TextBody"/>
                              <w:bidi w:val="0"/>
                              <w:spacing w:lineRule="auto" w:line="288" w:before="0" w:after="180"/>
                              <w:jc w:val="left"/>
                              <w:rPr/>
                            </w:pPr>
                            <w:hyperlink w:anchor="i8e13d1b6f3764394b0e424082d2ac79f_151">
                              <w:r>
                                <w:rPr>
                                  <w:rStyle w:val="InternetLink"/>
                                  <w:rFonts w:ascii="Times New Roman;serif" w:hAnsi="Times New Roman;serif"/>
                                  <w:b w:val="false"/>
                                  <w:color w:val="0000FF"/>
                                  <w:sz w:val="20"/>
                                  <w:u w:val="single"/>
                                </w:rPr>
                                <w:t>Table of Contents</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146</w:t>
                      </w:r>
                    </w:p>
                    <w:p>
                      <w:pPr>
                        <w:pStyle w:val="TextBody"/>
                        <w:bidi w:val="0"/>
                        <w:spacing w:lineRule="auto" w:line="288" w:before="0" w:after="180"/>
                        <w:jc w:val="left"/>
                        <w:rPr/>
                      </w:pPr>
                      <w:hyperlink w:anchor="i8e13d1b6f3764394b0e424082d2ac79f_151">
                        <w:r>
                          <w:rPr>
                            <w:rStyle w:val="InternetLink"/>
                            <w:rFonts w:ascii="Times New Roman;serif" w:hAnsi="Times New Roman;serif"/>
                            <w:b w:val="false"/>
                            <w:color w:val="0000FF"/>
                            <w:sz w:val="20"/>
                            <w:u w:val="single"/>
                          </w:rPr>
                          <w:t>Table of Contents</w:t>
                        </w:r>
                      </w:hyperlink>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FIGURE TECHNOLOGY SOLUTIONS,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tables in thousands, except share and per share data, units, ratios or as otherwise noted)</w:t>
      </w:r>
    </w:p>
    <w:p>
      <w:pPr>
        <w:pStyle w:val="TextBody"/>
        <w:bidi w:val="0"/>
        <w:spacing w:before="0" w:after="180"/>
        <w:jc w:val="center"/>
        <w:rPr/>
      </w:pPr>
      <w:r>
        <w:rPr/>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Recently Adopted Accounting Standards</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Credit Losses</w:t>
      </w:r>
    </w:p>
    <w:p>
      <w:pPr>
        <w:pStyle w:val="TextBody"/>
        <w:bidi w:val="0"/>
        <w:spacing w:lineRule="auto" w:line="288" w:before="0" w:after="180"/>
        <w:jc w:val="both"/>
        <w:rPr/>
      </w:pPr>
      <w:r>
        <w:rPr>
          <w:rFonts w:ascii="Times New Roman;serif" w:hAnsi="Times New Roman;serif"/>
          <w:b w:val="false"/>
          <w:color w:val="000000"/>
          <w:sz w:val="20"/>
        </w:rPr>
        <w:t>In July 2025, the FASB issued ASU 2025-05,</w:t>
      </w:r>
      <w:r>
        <w:rPr>
          <w:color w:val="000000"/>
        </w:rPr>
        <w:t xml:space="preserve"> </w:t>
      </w:r>
      <w:r>
        <w:rPr>
          <w:rFonts w:ascii="Times New Roman;serif" w:hAnsi="Times New Roman;serif"/>
          <w:b w:val="false"/>
          <w:i/>
          <w:color w:val="000000"/>
          <w:sz w:val="20"/>
        </w:rPr>
        <w:t>Financial Instruments—Credit Losses (Topic 326): Measurement of Credit Losses for Accounts Receivable and Contract Assets</w:t>
      </w:r>
      <w:r>
        <w:rPr>
          <w:color w:val="000000"/>
        </w:rPr>
        <w:t xml:space="preserve"> </w:t>
      </w:r>
      <w:r>
        <w:rPr>
          <w:rFonts w:ascii="Times New Roman;serif" w:hAnsi="Times New Roman;serif"/>
          <w:b w:val="false"/>
          <w:color w:val="000000"/>
          <w:sz w:val="20"/>
        </w:rPr>
        <w:t xml:space="preserve">(“ASU 2025-05”), which provides all entities a practical expedient when estimating expected credit losses for current accounts receivable and current contract assets arising from transactions accounted for under ASC 606. In developing reasonable and supportable forecasts as part of estimating expected credit losses, all entities may elect a practical expedient that assumes that current conditions as of the balance sheet date do not change for the remaining life of the asset. The Company early adopted ASU 2025-05 as of October 1, 2025 on a prospective basis; adoption did not have a material impact on the Company’s Consolidated Financial Statements or related disclosures.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Recently Issued Accounting Standards Not Yet Adopted</w:t>
      </w:r>
    </w:p>
    <w:p>
      <w:pPr>
        <w:pStyle w:val="TextBody"/>
        <w:bidi w:val="0"/>
        <w:spacing w:lineRule="auto" w:line="288" w:before="0" w:after="180"/>
        <w:jc w:val="both"/>
        <w:rPr/>
      </w:pPr>
      <w:r>
        <w:rPr>
          <w:rFonts w:ascii="Times New Roman;serif" w:hAnsi="Times New Roman;serif"/>
          <w:b w:val="false"/>
          <w:color w:val="000000"/>
          <w:sz w:val="20"/>
        </w:rPr>
        <w:t xml:space="preserve">In December 2025, the FASB issued ASU 2025-11, </w:t>
      </w:r>
      <w:r>
        <w:rPr>
          <w:rFonts w:ascii="Times New Roman;serif" w:hAnsi="Times New Roman;serif"/>
          <w:b w:val="false"/>
          <w:i/>
          <w:color w:val="000000"/>
          <w:sz w:val="20"/>
        </w:rPr>
        <w:t>Interim Reporting (Topic 270): Narrow-Scope Improvements</w:t>
      </w:r>
      <w:r>
        <w:rPr>
          <w:color w:val="000000"/>
        </w:rPr>
        <w:t xml:space="preserve"> </w:t>
      </w:r>
      <w:r>
        <w:rPr>
          <w:rFonts w:ascii="Times New Roman;serif" w:hAnsi="Times New Roman;serif"/>
          <w:b w:val="false"/>
          <w:color w:val="000000"/>
          <w:sz w:val="20"/>
        </w:rPr>
        <w:t xml:space="preserve">(“ASU 2025-11”), which clarifies the applicability of interim reporting guidance, establishes a comprehensive list of interim disclosures required under GAAP, and introduces a disclosure principle requiring entities to disclose events occurring after the most recent annual reporting period that have a material impact on the entity. ASU 2025-11 also improves navigability by organizing interim disclosure requirements across the Codification and clarifies the form and content of interim financial statements, including the use of condensed statements and required accompanying notes. ASU 2025-11 is effective for interim reporting periods within annual periods beginning after December 15, 2027, for public business entities, and after December 15, 2028, for all other entities, with early adoption permitted. The Company is currently evaluating the effect of adopting ASU 2025-11 on its interim reporting disclosures. </w:t>
      </w:r>
    </w:p>
    <w:p>
      <w:pPr>
        <w:pStyle w:val="TextBody"/>
        <w:bidi w:val="0"/>
        <w:spacing w:lineRule="auto" w:line="288" w:before="0" w:after="180"/>
        <w:jc w:val="both"/>
        <w:rPr/>
      </w:pPr>
      <w:r>
        <w:rPr>
          <w:rFonts w:ascii="Times New Roman;serif" w:hAnsi="Times New Roman;serif"/>
          <w:b w:val="false"/>
          <w:color w:val="000000"/>
          <w:sz w:val="20"/>
        </w:rPr>
        <w:t xml:space="preserve">In November 2025, the FASB issued ASU 2025-08, </w:t>
      </w:r>
      <w:r>
        <w:rPr>
          <w:rFonts w:ascii="Times New Roman;serif" w:hAnsi="Times New Roman;serif"/>
          <w:b w:val="false"/>
          <w:i/>
          <w:color w:val="000000"/>
          <w:sz w:val="20"/>
        </w:rPr>
        <w:t>Financial Instruments—Credit Losses (Topic 326): Purchased Loans</w:t>
      </w:r>
      <w:r>
        <w:rPr>
          <w:color w:val="000000"/>
        </w:rPr>
        <w:t xml:space="preserve"> </w:t>
      </w:r>
      <w:r>
        <w:rPr>
          <w:rFonts w:ascii="Times New Roman;serif" w:hAnsi="Times New Roman;serif"/>
          <w:b w:val="false"/>
          <w:color w:val="000000"/>
          <w:sz w:val="20"/>
        </w:rPr>
        <w:t xml:space="preserve">(“ASU 2025-08”), which introduces the concept of purchased seasoned loans and expands use of the gross-up approach to a broader population of acquired loans. Under the amendments, loans (other than credit cards) that are acquired without significant credit deterioration since origination and meet seasoning criteria are accounted for using the gross-up approach at acquisition (that is, recognition of an allowance for credit losses with a corresponding increase to amortized cost). A loan generally is considered seasoned if it is obtained more than 90 days after origination and the transferee was not involved in the loan’s origination; the guidance provides indicators for assessing involvement and excludes certain assets (such as credit cards, debt securities, and Topic 606 trade receivables) from the purchased seasoned loans category. ASU 2025-08 also clarifies related measurement and interest income guidance for purchased seasoned loans and aligns various Topics (including business combinations, consolidations, and transfers and servicing) with the new model. ASU 2025-08 is effective for all entities for annual reporting periods beginning after December 15, 2026, and interim periods within those annual periods, and is applied prospectively to loans acquired on or after the date of initial application; early adoption is permitted in an interim or annual period for which financial statements have not yet been issued or made available for issuance. The Company is currently evaluating the effect of adopting ASU 2025-08 on its financial statements. </w:t>
      </w:r>
    </w:p>
    <w:p>
      <w:pPr>
        <w:pStyle w:val="TextBody"/>
        <w:bidi w:val="0"/>
        <w:spacing w:lineRule="auto" w:line="288" w:before="0" w:after="180"/>
        <w:jc w:val="both"/>
        <w:rPr/>
      </w:pPr>
      <w:r>
        <w:rPr>
          <w:rFonts w:ascii="Times New Roman;serif" w:hAnsi="Times New Roman;serif"/>
          <w:b w:val="false"/>
          <w:color w:val="000000"/>
          <w:sz w:val="20"/>
        </w:rPr>
        <w:t xml:space="preserve">In September 2025, the FASB issued ASU 2025-07, </w:t>
      </w:r>
      <w:r>
        <w:rPr>
          <w:rFonts w:ascii="Times New Roman;serif" w:hAnsi="Times New Roman;serif"/>
          <w:b w:val="false"/>
          <w:i/>
          <w:color w:val="000000"/>
          <w:sz w:val="20"/>
        </w:rPr>
        <w:t>Derivatives and Hedging (Topic 815) and Revenue from Contracts with Customers (Topic 606): Derivatives Scope Refinements and Scope Clarification for a Share-Based Payment from a Customer in a Revenue Contract</w:t>
      </w:r>
      <w:r>
        <w:rPr>
          <w:color w:val="000000"/>
        </w:rPr>
        <w:t xml:space="preserve"> </w:t>
      </w:r>
      <w:r>
        <w:rPr>
          <w:rFonts w:ascii="Times New Roman;serif" w:hAnsi="Times New Roman;serif"/>
          <w:b w:val="false"/>
          <w:color w:val="000000"/>
          <w:sz w:val="20"/>
        </w:rPr>
        <w:t>(“ASU 2025-07”). The ASU expands the population of contracts excluded from derivative accounting by excluding contracts whose underlyings are based on operations or activities specific to one of the parties to the contract. In addition, the ASU clarifies that a share-based payment received from a customer as consideration for goods or services should be accounted for under ASC 606’s share-based noncash consideration guidance, and that guidance in other topics should not be applied unless and until the entity’s right to receive or retain the share-based noncash consideration is unconditional under ASC 606. ASU 2025-07 is effective for annual periods beginning after December 15, 2026, and interim reporting periods within those annual reporting periods, with earlier adoption permitted. The Company is currently evaluating the effect of adopting ASU 2025-07 on its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293370"/>
                <wp:effectExtent l="0" t="0" r="0" b="0"/>
                <wp:wrapNone/>
                <wp:docPr id="149" name="Frame147"/>
                <a:graphic xmlns:a="http://schemas.openxmlformats.org/drawingml/2006/main">
                  <a:graphicData uri="http://schemas.microsoft.com/office/word/2010/wordprocessingShape">
                    <wps:wsp>
                      <wps:cNvSpPr txBox="1"/>
                      <wps:spPr>
                        <a:xfrm>
                          <a:off x="0" y="0"/>
                          <a:ext cx="6480175" cy="293370"/>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147</w:t>
                            </w:r>
                          </w:p>
                          <w:p>
                            <w:pPr>
                              <w:pStyle w:val="TextBody"/>
                              <w:bidi w:val="0"/>
                              <w:spacing w:lineRule="auto" w:line="288" w:before="0" w:after="180"/>
                              <w:jc w:val="left"/>
                              <w:rPr/>
                            </w:pPr>
                            <w:hyperlink w:anchor="i8e13d1b6f3764394b0e424082d2ac79f_151">
                              <w:r>
                                <w:rPr>
                                  <w:rStyle w:val="InternetLink"/>
                                  <w:rFonts w:ascii="Times New Roman;serif" w:hAnsi="Times New Roman;serif"/>
                                  <w:b w:val="false"/>
                                  <w:color w:val="0000FF"/>
                                  <w:sz w:val="20"/>
                                  <w:u w:val="single"/>
                                </w:rPr>
                                <w:t>Table of Contents</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147</w:t>
                      </w:r>
                    </w:p>
                    <w:p>
                      <w:pPr>
                        <w:pStyle w:val="TextBody"/>
                        <w:bidi w:val="0"/>
                        <w:spacing w:lineRule="auto" w:line="288" w:before="0" w:after="180"/>
                        <w:jc w:val="left"/>
                        <w:rPr/>
                      </w:pPr>
                      <w:hyperlink w:anchor="i8e13d1b6f3764394b0e424082d2ac79f_151">
                        <w:r>
                          <w:rPr>
                            <w:rStyle w:val="InternetLink"/>
                            <w:rFonts w:ascii="Times New Roman;serif" w:hAnsi="Times New Roman;serif"/>
                            <w:b w:val="false"/>
                            <w:color w:val="0000FF"/>
                            <w:sz w:val="20"/>
                            <w:u w:val="single"/>
                          </w:rPr>
                          <w:t>Table of Contents</w:t>
                        </w:r>
                      </w:hyperlink>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FIGURE TECHNOLOGY SOLUTIONS,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tables in thousands, except share and per share data, units, ratios or as otherwise noted)</w:t>
      </w:r>
    </w:p>
    <w:p>
      <w:pPr>
        <w:pStyle w:val="TextBody"/>
        <w:bidi w:val="0"/>
        <w:spacing w:before="0" w:after="180"/>
        <w:jc w:val="center"/>
        <w:rPr/>
      </w:pPr>
      <w:r>
        <w:rPr/>
      </w:r>
    </w:p>
    <w:p>
      <w:pPr>
        <w:pStyle w:val="TextBody"/>
        <w:bidi w:val="0"/>
        <w:spacing w:lineRule="auto" w:line="288" w:before="0" w:after="180"/>
        <w:jc w:val="both"/>
        <w:rPr/>
      </w:pPr>
      <w:r>
        <w:rPr>
          <w:rFonts w:ascii="Times New Roman;serif" w:hAnsi="Times New Roman;serif"/>
          <w:b w:val="false"/>
          <w:color w:val="000000"/>
          <w:sz w:val="20"/>
        </w:rPr>
        <w:t xml:space="preserve">In September 2025, the FASB issued ASU 2025-06, </w:t>
      </w:r>
      <w:r>
        <w:rPr>
          <w:rFonts w:ascii="Times New Roman;serif" w:hAnsi="Times New Roman;serif"/>
          <w:b w:val="false"/>
          <w:i/>
          <w:color w:val="000000"/>
          <w:sz w:val="20"/>
        </w:rPr>
        <w:t>Intangibles—Goodwill and Other—Internal-Use Software (Subtopic 350-40): Targeted Improvements to the Accounting for Internal-Use Software</w:t>
      </w:r>
      <w:r>
        <w:rPr>
          <w:color w:val="000000"/>
        </w:rPr>
        <w:t xml:space="preserve"> </w:t>
      </w:r>
      <w:r>
        <w:rPr>
          <w:rFonts w:ascii="Times New Roman;serif" w:hAnsi="Times New Roman;serif"/>
          <w:b w:val="false"/>
          <w:color w:val="000000"/>
          <w:sz w:val="20"/>
        </w:rPr>
        <w:t>(“ASU 2025-06”), which modernizes the accounting for software costs by removing references to prescriptive project stages and establishing a new recognition threshold. Under ASU 2025-06, entities are required to begin capitalizing internal-use software costs once management has authorized and committed to funding the project and it is probable that the project will be completed and the software will be used as intended. In assessing the probability threshold, entities must evaluate whether significant development uncertainty exists, including unresolved technological innovations or unproven features, or whether significant performance requirements have not been identified or continue to be substantially revised. The amendments also incorporate website development cost guidance into Subtopic 350-40, require property, plant, and equipment disclosures for capitalized internal-use software costs, and eliminate duplicative intangible disclosure requirements. ASU 2025-06 is effective for all entities for annual reporting periods beginning after December 15, 2027, and interim reporting periods within those annual periods, with early adoption permitted. The Company is currently evaluating the effect of adopting ASU 2025-06 on its financial statements.</w:t>
      </w:r>
    </w:p>
    <w:p>
      <w:pPr>
        <w:pStyle w:val="TextBody"/>
        <w:bidi w:val="0"/>
        <w:spacing w:lineRule="auto" w:line="288" w:before="0" w:after="180"/>
        <w:jc w:val="both"/>
        <w:rPr/>
      </w:pPr>
      <w:r>
        <w:rPr>
          <w:rFonts w:ascii="Times New Roman;serif" w:hAnsi="Times New Roman;serif"/>
          <w:b w:val="false"/>
          <w:color w:val="000000"/>
          <w:sz w:val="20"/>
        </w:rPr>
        <w:t xml:space="preserve">In November 2024, the FASB issued ASU 2024-03, </w:t>
      </w:r>
      <w:r>
        <w:rPr>
          <w:rFonts w:ascii="Times New Roman;serif" w:hAnsi="Times New Roman;serif"/>
          <w:b w:val="false"/>
          <w:i/>
          <w:color w:val="000000"/>
          <w:sz w:val="20"/>
        </w:rPr>
        <w:t xml:space="preserve">Income Statement - Reporting Comprehensive Income - Expense Disaggregation Disclosures (Subtopic 220-40) - Disaggregation of Income Statement Expenses </w:t>
      </w:r>
      <w:r>
        <w:rPr>
          <w:rFonts w:ascii="Times New Roman;serif" w:hAnsi="Times New Roman;serif"/>
          <w:b w:val="false"/>
          <w:color w:val="000000"/>
          <w:sz w:val="20"/>
        </w:rPr>
        <w:t>(“ASU 2024-03”), which requires disaggregated disclosures, in the notes to the financial statements, of certain categories of expenses that are included in expense line items on the face of the income statement. ASU 2024-03 also requires a qualitative description of the amounts remaining in relevant expense captions that are not separately disaggregated quantitatively, disclosure of the total amount of selling expenses, and in annual reporting periods. the Company’s definition of selling expenses. ASU 2024-03 is effective for public business entities’ annual reporting periods beginning after December 15, 2026, and interim reporting periods beginning after December 15, 2027. Early adoption is permitted. The Company is currently evaluating the effect of adopting ASU 2024-03 on its disclosures.</w:t>
      </w:r>
    </w:p>
    <w:p>
      <w:pPr>
        <w:pStyle w:val="TextBody"/>
        <w:bidi w:val="0"/>
        <w:spacing w:lineRule="auto" w:line="288" w:before="0" w:after="180"/>
        <w:jc w:val="both"/>
        <w:rPr/>
      </w:pPr>
      <w:r>
        <w:rPr>
          <w:rFonts w:ascii="Times New Roman;serif" w:hAnsi="Times New Roman;serif"/>
          <w:b w:val="false"/>
          <w:color w:val="000000"/>
          <w:sz w:val="20"/>
        </w:rPr>
        <w:t xml:space="preserve">In December 2023, the FASB issued ASU 2023‐09, </w:t>
      </w:r>
      <w:r>
        <w:rPr>
          <w:rFonts w:ascii="Times New Roman;serif" w:hAnsi="Times New Roman;serif"/>
          <w:b w:val="false"/>
          <w:i/>
          <w:color w:val="000000"/>
          <w:sz w:val="20"/>
        </w:rPr>
        <w:t>Income Taxes (Topic 740):</w:t>
      </w:r>
      <w:r>
        <w:rPr>
          <w:color w:val="000000"/>
        </w:rPr>
        <w:t xml:space="preserve"> </w:t>
      </w:r>
      <w:r>
        <w:rPr>
          <w:rFonts w:ascii="Times New Roman;serif" w:hAnsi="Times New Roman;serif"/>
          <w:b w:val="false"/>
          <w:i/>
          <w:color w:val="000000"/>
          <w:sz w:val="20"/>
        </w:rPr>
        <w:t xml:space="preserve">Improvements to Income Tax Disclosures </w:t>
      </w:r>
      <w:r>
        <w:rPr>
          <w:rFonts w:ascii="Times New Roman;serif" w:hAnsi="Times New Roman;serif"/>
          <w:b w:val="false"/>
          <w:color w:val="000000"/>
          <w:sz w:val="20"/>
        </w:rPr>
        <w:t>(“ASU 2023-09”), to enhance the transparency and decision usefulness of income tax disclosures. ASU 2023-09 requires disaggregated information about a reporting entity’s effective tax rate reconciliation as well as information on income taxes paid. The standard is intended to benefit investors by providing more detailed income tax disclosures that would be useful in making capital allocation decisions and applies to all entities subject to income taxes. ASU 2023-09 is effective for public business entities’ annual periods beginning after December 15, 2024. For entities other than public business entities, the amendments are effective for annual periods beginning after December 15, 2025. Early adoption is permitted for annual financial statements that have not yet been issued or made available for issuance. ASU 2023-09 should be applied on a prospective basis, with retrospective application permitted. The Company is currently evaluating the effect of adopting ASU 2023-09 on its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NOTE 3 – INVESTMENTS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holds investments across three primary categories: marketable securities that represent the interests it is required to retain upon securitizing loans in transactions that are considered sales under GAAP; digital assets, in the form of cryptocurrencies or digital financial assets, held and held as collateral for personal loans; and investments in entities that the Company does not consolidate.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293370"/>
                <wp:effectExtent l="0" t="0" r="0" b="0"/>
                <wp:wrapNone/>
                <wp:docPr id="150" name="Frame148"/>
                <a:graphic xmlns:a="http://schemas.openxmlformats.org/drawingml/2006/main">
                  <a:graphicData uri="http://schemas.microsoft.com/office/word/2010/wordprocessingShape">
                    <wps:wsp>
                      <wps:cNvSpPr txBox="1"/>
                      <wps:spPr>
                        <a:xfrm>
                          <a:off x="0" y="0"/>
                          <a:ext cx="6480175" cy="293370"/>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148</w:t>
                            </w:r>
                          </w:p>
                          <w:p>
                            <w:pPr>
                              <w:pStyle w:val="TextBody"/>
                              <w:bidi w:val="0"/>
                              <w:spacing w:lineRule="auto" w:line="288" w:before="0" w:after="180"/>
                              <w:jc w:val="left"/>
                              <w:rPr/>
                            </w:pPr>
                            <w:hyperlink w:anchor="i8e13d1b6f3764394b0e424082d2ac79f_151">
                              <w:r>
                                <w:rPr>
                                  <w:rStyle w:val="InternetLink"/>
                                  <w:rFonts w:ascii="Times New Roman;serif" w:hAnsi="Times New Roman;serif"/>
                                  <w:b w:val="false"/>
                                  <w:color w:val="0000FF"/>
                                  <w:sz w:val="20"/>
                                  <w:u w:val="single"/>
                                </w:rPr>
                                <w:t>Table of Contents</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148</w:t>
                      </w:r>
                    </w:p>
                    <w:p>
                      <w:pPr>
                        <w:pStyle w:val="TextBody"/>
                        <w:bidi w:val="0"/>
                        <w:spacing w:lineRule="auto" w:line="288" w:before="0" w:after="180"/>
                        <w:jc w:val="left"/>
                        <w:rPr/>
                      </w:pPr>
                      <w:hyperlink w:anchor="i8e13d1b6f3764394b0e424082d2ac79f_151">
                        <w:r>
                          <w:rPr>
                            <w:rStyle w:val="InternetLink"/>
                            <w:rFonts w:ascii="Times New Roman;serif" w:hAnsi="Times New Roman;serif"/>
                            <w:b w:val="false"/>
                            <w:color w:val="0000FF"/>
                            <w:sz w:val="20"/>
                            <w:u w:val="single"/>
                          </w:rPr>
                          <w:t>Table of Contents</w:t>
                        </w:r>
                      </w:hyperlink>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FIGURE TECHNOLOGY SOLUTIONS,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tables in thousands, except share and per share data, units, ratios or as otherwise noted)</w:t>
      </w:r>
    </w:p>
    <w:p>
      <w:pPr>
        <w:pStyle w:val="TextBody"/>
        <w:bidi w:val="0"/>
        <w:spacing w:before="0" w:after="180"/>
        <w:jc w:val="center"/>
        <w:rPr/>
      </w:pPr>
      <w:r>
        <w:rPr/>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Marketable Securities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marketable securities at December 31, 2025 and 2024:</w:t>
      </w:r>
    </w:p>
    <w:tbl>
      <w:tblPr>
        <w:tblW w:w="9249" w:type="dxa"/>
        <w:jc w:val="left"/>
        <w:tblInd w:w="0" w:type="dxa"/>
        <w:tblLayout w:type="fixed"/>
        <w:tblCellMar>
          <w:top w:w="28" w:type="dxa"/>
          <w:left w:w="28" w:type="dxa"/>
          <w:bottom w:w="28" w:type="dxa"/>
          <w:right w:w="28" w:type="dxa"/>
        </w:tblCellMar>
      </w:tblPr>
      <w:tblGrid>
        <w:gridCol w:w="1064"/>
        <w:gridCol w:w="936"/>
        <w:gridCol w:w="940"/>
        <w:gridCol w:w="406"/>
        <w:gridCol w:w="1528"/>
        <w:gridCol w:w="226"/>
        <w:gridCol w:w="109"/>
        <w:gridCol w:w="109"/>
        <w:gridCol w:w="109"/>
        <w:gridCol w:w="426"/>
        <w:gridCol w:w="1407"/>
        <w:gridCol w:w="237"/>
        <w:gridCol w:w="109"/>
        <w:gridCol w:w="109"/>
        <w:gridCol w:w="109"/>
        <w:gridCol w:w="257"/>
        <w:gridCol w:w="966"/>
        <w:gridCol w:w="202"/>
      </w:tblGrid>
      <w:tr>
        <w:trPr/>
        <w:tc>
          <w:tcPr>
            <w:tcW w:w="1064"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40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Outstanding Face Amount</w:t>
            </w:r>
            <w:r>
              <w:rPr>
                <w:rFonts w:ascii="Times New Roman;serif" w:hAnsi="Times New Roman;serif"/>
                <w:b/>
                <w:color w:val="000000"/>
                <w:sz w:val="10"/>
              </w:rPr>
              <w: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Fair Value Adjustment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Carrying Value</w:t>
            </w:r>
            <w:r>
              <w:rPr>
                <w:rFonts w:ascii="Times New Roman;serif" w:hAnsi="Times New Roman;serif"/>
                <w:b/>
                <w:color w:val="000000"/>
                <w:sz w:val="10"/>
              </w:rPr>
              <w:t>(B)</w:t>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Marketable securities, at fair value:</w:t>
            </w:r>
          </w:p>
        </w:tc>
        <w:tc>
          <w:tcPr>
            <w:tcW w:w="21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Investment grade debt securities</w:t>
            </w:r>
            <w:r>
              <w:rPr>
                <w:rFonts w:ascii="Times New Roman;serif" w:hAnsi="Times New Roman;serif"/>
                <w:b w:val="false"/>
                <w:color w:val="000000"/>
                <w:sz w:val="10"/>
              </w:rPr>
              <w:t>(C)</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5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202,358 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4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1,500 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203,858 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Below investment grade debt securities</w:t>
            </w:r>
            <w:r>
              <w:rPr>
                <w:rFonts w:ascii="Times New Roman;serif" w:hAnsi="Times New Roman;serif"/>
                <w:b w:val="false"/>
                <w:color w:val="000000"/>
                <w:sz w:val="10"/>
              </w:rPr>
              <w:t>(D)</w:t>
            </w:r>
          </w:p>
        </w:tc>
        <w:tc>
          <w:tcPr>
            <w:tcW w:w="1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29,648 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(521)</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29,127 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Residual interest securities</w:t>
            </w:r>
            <w:r>
              <w:rPr>
                <w:rFonts w:ascii="Times New Roman;serif" w:hAnsi="Times New Roman;serif"/>
                <w:b w:val="false"/>
                <w:color w:val="000000"/>
                <w:sz w:val="10"/>
              </w:rPr>
              <w:t>(E)</w:t>
            </w:r>
          </w:p>
        </w:tc>
        <w:tc>
          <w:tcPr>
            <w:tcW w:w="1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40,803 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(637)</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40,166 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marketable securities, at fair value</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5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272,809 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4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342 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273,151 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Outstanding Face Amount</w:t>
            </w:r>
            <w:r>
              <w:rPr>
                <w:rFonts w:ascii="Times New Roman;serif" w:hAnsi="Times New Roman;serif"/>
                <w:b/>
                <w:color w:val="000000"/>
                <w:sz w:val="10"/>
              </w:rPr>
              <w: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Fair Value Adjustment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Carrying Value</w:t>
            </w:r>
            <w:r>
              <w:rPr>
                <w:rFonts w:ascii="Times New Roman;serif" w:hAnsi="Times New Roman;serif"/>
                <w:b/>
                <w:color w:val="000000"/>
                <w:sz w:val="10"/>
              </w:rPr>
              <w:t>(B)</w:t>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Marketable securities, at fair value:</w:t>
            </w:r>
          </w:p>
        </w:tc>
        <w:tc>
          <w:tcPr>
            <w:tcW w:w="21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Investment grade debt securities</w:t>
            </w:r>
            <w:r>
              <w:rPr>
                <w:rFonts w:ascii="Times New Roman;serif" w:hAnsi="Times New Roman;serif"/>
                <w:b w:val="false"/>
                <w:color w:val="000000"/>
                <w:sz w:val="10"/>
              </w:rPr>
              <w:t>(C)</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5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121,278 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4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121,176 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Below investment grade debt securities</w:t>
            </w:r>
            <w:r>
              <w:rPr>
                <w:rFonts w:ascii="Times New Roman;serif" w:hAnsi="Times New Roman;serif"/>
                <w:b w:val="false"/>
                <w:color w:val="000000"/>
                <w:sz w:val="10"/>
              </w:rPr>
              <w:t>(D)</w:t>
            </w:r>
          </w:p>
        </w:tc>
        <w:tc>
          <w:tcPr>
            <w:tcW w:w="1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7,897 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7,807 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Residual interest securities</w:t>
            </w:r>
            <w:r>
              <w:rPr>
                <w:rFonts w:ascii="Times New Roman;serif" w:hAnsi="Times New Roman;serif"/>
                <w:b w:val="false"/>
                <w:color w:val="000000"/>
                <w:sz w:val="10"/>
              </w:rPr>
              <w:t>(E)</w:t>
            </w:r>
          </w:p>
        </w:tc>
        <w:tc>
          <w:tcPr>
            <w:tcW w:w="1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24,138 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10,368 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34,506 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marketable securities, at fair value</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5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153,313 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4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10,176 </w:t>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163,489 </w:t>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both"/>
        <w:rPr/>
      </w:pPr>
      <w:r>
        <w:rPr>
          <w:rFonts w:ascii="Times New Roman;serif" w:hAnsi="Times New Roman;serif"/>
          <w:b w:val="false"/>
          <w:color w:val="000000"/>
          <w:sz w:val="10"/>
        </w:rPr>
        <w:t>(A)    </w:t>
      </w:r>
      <w:r>
        <w:rPr>
          <w:rFonts w:ascii="Times New Roman;serif" w:hAnsi="Times New Roman;serif"/>
          <w:b w:val="false"/>
          <w:color w:val="000000"/>
          <w:sz w:val="16"/>
        </w:rPr>
        <w:t>The total outstanding face amount represents the aggregate face amount of the debt securities outstanding at each period end.</w:t>
      </w:r>
    </w:p>
    <w:p>
      <w:pPr>
        <w:pStyle w:val="TextBody"/>
        <w:bidi w:val="0"/>
        <w:spacing w:lineRule="auto" w:line="288" w:before="0" w:after="0"/>
        <w:ind w:left="0" w:right="0" w:hanging="180"/>
        <w:jc w:val="both"/>
        <w:rPr/>
      </w:pPr>
      <w:r>
        <w:rPr>
          <w:rFonts w:ascii="Times New Roman;serif" w:hAnsi="Times New Roman;serif"/>
          <w:b w:val="false"/>
          <w:color w:val="000000"/>
          <w:sz w:val="10"/>
        </w:rPr>
        <w:t>(B)    </w:t>
      </w:r>
      <w:r>
        <w:rPr>
          <w:rFonts w:ascii="Times New Roman;serif" w:hAnsi="Times New Roman;serif"/>
          <w:b w:val="false"/>
          <w:color w:val="000000"/>
          <w:sz w:val="16"/>
        </w:rPr>
        <w:t>The Company elected the fair value option for marketable securities; therefore, carrying value represents fair value. The total carrying value includes $231.8 million and $129.0 million of debt securities collateralized under repurchase agreements at December 31, 2025 and 2024, respectively. See Notes 6 and 12 for additional information regarding the retained interest facility and valuation of the Company’s marketable securities, respectively.</w:t>
      </w:r>
    </w:p>
    <w:p>
      <w:pPr>
        <w:pStyle w:val="TextBody"/>
        <w:bidi w:val="0"/>
        <w:spacing w:lineRule="auto" w:line="288" w:before="0" w:after="0"/>
        <w:ind w:left="0" w:right="0" w:hanging="180"/>
        <w:jc w:val="both"/>
        <w:rPr/>
      </w:pPr>
      <w:r>
        <w:rPr>
          <w:rFonts w:ascii="Times New Roman;serif" w:hAnsi="Times New Roman;serif"/>
          <w:b w:val="false"/>
          <w:color w:val="000000"/>
          <w:sz w:val="10"/>
        </w:rPr>
        <w:t>(C)    </w:t>
      </w:r>
      <w:r>
        <w:rPr>
          <w:rFonts w:ascii="Times New Roman;serif" w:hAnsi="Times New Roman;serif"/>
          <w:b w:val="false"/>
          <w:color w:val="000000"/>
          <w:sz w:val="16"/>
        </w:rPr>
        <w:t>Represents debt securities rated A- or above by DBRS Morningstar or comparable rating by other rating agencies.</w:t>
      </w:r>
    </w:p>
    <w:p>
      <w:pPr>
        <w:pStyle w:val="TextBody"/>
        <w:bidi w:val="0"/>
        <w:spacing w:lineRule="auto" w:line="288" w:before="0" w:after="0"/>
        <w:ind w:left="0" w:right="0" w:hanging="180"/>
        <w:jc w:val="both"/>
        <w:rPr/>
      </w:pPr>
      <w:r>
        <w:rPr>
          <w:rFonts w:ascii="Times New Roman;serif" w:hAnsi="Times New Roman;serif"/>
          <w:b w:val="false"/>
          <w:color w:val="000000"/>
          <w:sz w:val="10"/>
        </w:rPr>
        <w:t>(D)    </w:t>
      </w:r>
      <w:r>
        <w:rPr>
          <w:rFonts w:ascii="Times New Roman;serif" w:hAnsi="Times New Roman;serif"/>
          <w:b w:val="false"/>
          <w:color w:val="000000"/>
          <w:sz w:val="16"/>
        </w:rPr>
        <w:t>Represents debt securities rated below A- by DBRS Morningstar or comparable rating by other rating agencies.</w:t>
      </w:r>
    </w:p>
    <w:p>
      <w:pPr>
        <w:pStyle w:val="TextBody"/>
        <w:bidi w:val="0"/>
        <w:spacing w:lineRule="auto" w:line="288" w:before="0" w:after="0"/>
        <w:ind w:left="0" w:right="0" w:hanging="180"/>
        <w:jc w:val="both"/>
        <w:rPr/>
      </w:pPr>
      <w:r>
        <w:rPr>
          <w:rFonts w:ascii="Times New Roman;serif" w:hAnsi="Times New Roman;serif"/>
          <w:b w:val="false"/>
          <w:color w:val="000000"/>
          <w:sz w:val="10"/>
        </w:rPr>
        <w:t>(E)    </w:t>
      </w:r>
      <w:r>
        <w:rPr>
          <w:rFonts w:ascii="Times New Roman;serif" w:hAnsi="Times New Roman;serif"/>
          <w:b w:val="false"/>
          <w:color w:val="000000"/>
          <w:sz w:val="16"/>
        </w:rPr>
        <w:t>Represents residual interests and non-rated securities in securitizations that are not considered debt securities, including 20 and 11 non-rated securities with aggregate outstanding face amounts of $20.9 million and $15.1 million at December 31, 2025 and 2024, respectively, and 15 and 6 interest-only securities based upon aggregate outstanding principal amounts of $19.9 million and $9.1 million at December 31, 2025 and 2024, respectively.</w:t>
      </w:r>
    </w:p>
    <w:p>
      <w:pPr>
        <w:pStyle w:val="TextBody"/>
        <w:bidi w:val="0"/>
        <w:spacing w:before="0" w:after="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Digital Assets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Digital Assets Held as Collateral</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records digital assets and the corresponding liability for digital assets held as collateral at fair value, and the Company does not consider the cost basis to be meaningful. While the collateral is in the Company’s control, the Company has the ability to use the collateral for loan, margin, rehypothecation, or other similar activities to which the Company or its affiliates are a party, however, chooses not to do so without the customer’s consent and such assets are held solely for the purpose of securing the related loans. Digital assets held for collateral are included in “Digital assets” in the Consolidated Balance Sheets. The Company originates loans collateralized by digital assets and recorded a corresponding $52.6 million and $64.4 million liability at December 31, 2025 and 2024, respectively, representing the fair value digital assets owed to the borrower in the event of loan repayment that is included in “Other current liabilities” in the Consolidated Balance Sheets.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See Note 12 for additional information regarding the valuation of these assets and liabilities.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293370"/>
                <wp:effectExtent l="0" t="0" r="0" b="0"/>
                <wp:wrapNone/>
                <wp:docPr id="151" name="Frame149"/>
                <a:graphic xmlns:a="http://schemas.openxmlformats.org/drawingml/2006/main">
                  <a:graphicData uri="http://schemas.microsoft.com/office/word/2010/wordprocessingShape">
                    <wps:wsp>
                      <wps:cNvSpPr txBox="1"/>
                      <wps:spPr>
                        <a:xfrm>
                          <a:off x="0" y="0"/>
                          <a:ext cx="6480175" cy="293370"/>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149</w:t>
                            </w:r>
                          </w:p>
                          <w:p>
                            <w:pPr>
                              <w:pStyle w:val="TextBody"/>
                              <w:bidi w:val="0"/>
                              <w:spacing w:lineRule="auto" w:line="288" w:before="0" w:after="180"/>
                              <w:jc w:val="left"/>
                              <w:rPr/>
                            </w:pPr>
                            <w:hyperlink w:anchor="i8e13d1b6f3764394b0e424082d2ac79f_151">
                              <w:r>
                                <w:rPr>
                                  <w:rStyle w:val="InternetLink"/>
                                  <w:rFonts w:ascii="Times New Roman;serif" w:hAnsi="Times New Roman;serif"/>
                                  <w:b w:val="false"/>
                                  <w:color w:val="0000FF"/>
                                  <w:sz w:val="20"/>
                                  <w:u w:val="single"/>
                                </w:rPr>
                                <w:t>Table of Contents</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149</w:t>
                      </w:r>
                    </w:p>
                    <w:p>
                      <w:pPr>
                        <w:pStyle w:val="TextBody"/>
                        <w:bidi w:val="0"/>
                        <w:spacing w:lineRule="auto" w:line="288" w:before="0" w:after="180"/>
                        <w:jc w:val="left"/>
                        <w:rPr/>
                      </w:pPr>
                      <w:hyperlink w:anchor="i8e13d1b6f3764394b0e424082d2ac79f_151">
                        <w:r>
                          <w:rPr>
                            <w:rStyle w:val="InternetLink"/>
                            <w:rFonts w:ascii="Times New Roman;serif" w:hAnsi="Times New Roman;serif"/>
                            <w:b w:val="false"/>
                            <w:color w:val="0000FF"/>
                            <w:sz w:val="20"/>
                            <w:u w:val="single"/>
                          </w:rPr>
                          <w:t>Table of Contents</w:t>
                        </w:r>
                      </w:hyperlink>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FIGURE TECHNOLOGY SOLUTIONS,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tables in thousands, except share and per share data, units, ratios or as otherwise noted)</w:t>
      </w:r>
    </w:p>
    <w:p>
      <w:pPr>
        <w:pStyle w:val="TextBody"/>
        <w:bidi w:val="0"/>
        <w:spacing w:before="0" w:after="180"/>
        <w:jc w:val="center"/>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significant digital assets held as collateral at December 31, 2025 and 2024:</w:t>
      </w:r>
    </w:p>
    <w:tbl>
      <w:tblPr>
        <w:tblW w:w="6941" w:type="dxa"/>
        <w:jc w:val="left"/>
        <w:tblInd w:w="0" w:type="dxa"/>
        <w:tblLayout w:type="fixed"/>
        <w:tblCellMar>
          <w:top w:w="28" w:type="dxa"/>
          <w:left w:w="28" w:type="dxa"/>
          <w:bottom w:w="28" w:type="dxa"/>
          <w:right w:w="28" w:type="dxa"/>
        </w:tblCellMar>
      </w:tblPr>
      <w:tblGrid>
        <w:gridCol w:w="934"/>
        <w:gridCol w:w="821"/>
        <w:gridCol w:w="824"/>
        <w:gridCol w:w="277"/>
        <w:gridCol w:w="279"/>
        <w:gridCol w:w="161"/>
        <w:gridCol w:w="109"/>
        <w:gridCol w:w="109"/>
        <w:gridCol w:w="109"/>
        <w:gridCol w:w="196"/>
        <w:gridCol w:w="646"/>
        <w:gridCol w:w="109"/>
        <w:gridCol w:w="109"/>
        <w:gridCol w:w="109"/>
        <w:gridCol w:w="109"/>
        <w:gridCol w:w="277"/>
        <w:gridCol w:w="279"/>
        <w:gridCol w:w="161"/>
        <w:gridCol w:w="109"/>
        <w:gridCol w:w="109"/>
        <w:gridCol w:w="109"/>
        <w:gridCol w:w="196"/>
        <w:gridCol w:w="646"/>
        <w:gridCol w:w="154"/>
      </w:tblGrid>
      <w:tr>
        <w:trPr/>
        <w:tc>
          <w:tcPr>
            <w:tcW w:w="934"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Digital assets held as collateral:</w:t>
            </w:r>
          </w:p>
        </w:tc>
        <w:tc>
          <w:tcPr>
            <w:tcW w:w="7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Bitcoin (BTC)</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49,593 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Ethereum (ETH)</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2,173 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4,457 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digital assets held as collateral</w:t>
            </w:r>
          </w:p>
        </w:tc>
        <w:tc>
          <w:tcPr>
            <w:tcW w:w="7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52,569 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64,439 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engages a third party custodian to hold digital assets as collateral in an account in the Company’s name, and provide custodial services including holding the cryptographic key information and working to protect the digital assets from loss or theft. The Company maintains internal recordkeeping of the digital asset collateral, including the amount and type of digital asset owned by each borrower.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Digital Assets Held</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Digital Assets Held at Fair Value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records digital assets held at fair value in both “Digital assets” and “Digital assets, non-current” in the Consolidated Balance Sheets, depending on the nature of the underlying asset and related restrictions. See Notes 2 and 12 for additional information regarding the classification and valuation of these assets.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digital assets held at fair value by the Company, and by third-party custodians on behalf of the Company, at December 31, 2025 and 2024:</w:t>
      </w:r>
    </w:p>
    <w:tbl>
      <w:tblPr>
        <w:tblW w:w="10007" w:type="dxa"/>
        <w:jc w:val="left"/>
        <w:tblInd w:w="0" w:type="dxa"/>
        <w:tblLayout w:type="fixed"/>
        <w:tblCellMar>
          <w:top w:w="28" w:type="dxa"/>
          <w:left w:w="28" w:type="dxa"/>
          <w:bottom w:w="28" w:type="dxa"/>
          <w:right w:w="28" w:type="dxa"/>
        </w:tblCellMar>
      </w:tblPr>
      <w:tblGrid>
        <w:gridCol w:w="938"/>
        <w:gridCol w:w="824"/>
        <w:gridCol w:w="832"/>
        <w:gridCol w:w="368"/>
        <w:gridCol w:w="368"/>
        <w:gridCol w:w="161"/>
        <w:gridCol w:w="109"/>
        <w:gridCol w:w="109"/>
        <w:gridCol w:w="109"/>
        <w:gridCol w:w="196"/>
        <w:gridCol w:w="646"/>
        <w:gridCol w:w="109"/>
        <w:gridCol w:w="109"/>
        <w:gridCol w:w="109"/>
        <w:gridCol w:w="109"/>
        <w:gridCol w:w="196"/>
        <w:gridCol w:w="646"/>
        <w:gridCol w:w="109"/>
        <w:gridCol w:w="109"/>
        <w:gridCol w:w="109"/>
        <w:gridCol w:w="109"/>
        <w:gridCol w:w="435"/>
        <w:gridCol w:w="436"/>
        <w:gridCol w:w="161"/>
        <w:gridCol w:w="109"/>
        <w:gridCol w:w="109"/>
        <w:gridCol w:w="109"/>
        <w:gridCol w:w="196"/>
        <w:gridCol w:w="646"/>
        <w:gridCol w:w="109"/>
        <w:gridCol w:w="109"/>
        <w:gridCol w:w="109"/>
        <w:gridCol w:w="109"/>
        <w:gridCol w:w="196"/>
        <w:gridCol w:w="646"/>
        <w:gridCol w:w="154"/>
      </w:tblGrid>
      <w:tr>
        <w:trPr/>
        <w:tc>
          <w:tcPr>
            <w:tcW w:w="938"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Cost Basis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Cost Basis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Digital assets held at fair value</w:t>
            </w:r>
            <w:r>
              <w:rPr>
                <w:rFonts w:ascii="Times New Roman;serif" w:hAnsi="Times New Roman;serif"/>
                <w:b w:val="false"/>
                <w:color w:val="000000"/>
                <w:sz w:val="10"/>
              </w:rPr>
              <w:t>(A)</w:t>
            </w:r>
            <w:r>
              <w:rPr>
                <w:rFonts w:ascii="Times New Roman;serif" w:hAnsi="Times New Roman;serif"/>
                <w:b w:val="false"/>
                <w:color w:val="000000"/>
                <w:sz w:val="16"/>
              </w:rPr>
              <w:t>:</w:t>
            </w:r>
          </w:p>
        </w:tc>
        <w:tc>
          <w:tcPr>
            <w:tcW w:w="8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Solana (SOL)</w:t>
            </w:r>
            <w:r>
              <w:rPr>
                <w:rFonts w:ascii="Times New Roman;serif" w:hAnsi="Times New Roman;serif"/>
                <w:b w:val="false"/>
                <w:color w:val="000000"/>
                <w:sz w:val="10"/>
              </w:rPr>
              <w:t>(B)</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87,707 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95,139 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United States Dollar Tether (USDT)</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958,734 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1,002,506 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Kamino Liquidity Pools</w:t>
            </w:r>
          </w:p>
        </w:tc>
        <w:tc>
          <w:tcPr>
            <w:tcW w:w="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Various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23,485 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23,510 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Other digital assets</w:t>
            </w:r>
            <w:r>
              <w:rPr>
                <w:rFonts w:ascii="Times New Roman;serif" w:hAnsi="Times New Roman;serif"/>
                <w:b w:val="false"/>
                <w:color w:val="000000"/>
                <w:sz w:val="10"/>
              </w:rPr>
              <w:t>(C)</w:t>
            </w:r>
          </w:p>
        </w:tc>
        <w:tc>
          <w:tcPr>
            <w:tcW w:w="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Various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Various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digital assets held at fair value</w:t>
            </w:r>
          </w:p>
        </w:tc>
        <w:tc>
          <w:tcPr>
            <w:tcW w:w="8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35,650 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35,942 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11,297 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19,207 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both"/>
        <w:rPr/>
      </w:pPr>
      <w:r>
        <w:rPr>
          <w:rFonts w:ascii="Times New Roman;serif" w:hAnsi="Times New Roman;serif"/>
          <w:b w:val="false"/>
          <w:color w:val="000000"/>
          <w:sz w:val="10"/>
        </w:rPr>
        <w:t>(A)</w:t>
      </w:r>
      <w:r>
        <w:rPr>
          <w:color w:val="000000"/>
        </w:rPr>
        <w:t xml:space="preserve"> </w:t>
      </w:r>
      <w:r>
        <w:rPr>
          <w:rFonts w:ascii="Times New Roman;serif" w:hAnsi="Times New Roman;serif"/>
          <w:b w:val="false"/>
          <w:color w:val="000000"/>
          <w:sz w:val="16"/>
        </w:rPr>
        <w:t>The Company reclassified payment stablecoins from “Digital assets” to “Cash and cash equivalents”, which resulted in a $2.4 million decrease to the previously reported total digital assets held cost basis and fair value as of December 31, 2024. See Note 2, Change in Accounting Principle, for further details.</w:t>
      </w:r>
    </w:p>
    <w:p>
      <w:pPr>
        <w:pStyle w:val="TextBody"/>
        <w:bidi w:val="0"/>
        <w:spacing w:lineRule="auto" w:line="288" w:before="0" w:after="0"/>
        <w:ind w:left="0" w:right="0" w:hanging="180"/>
        <w:jc w:val="both"/>
        <w:rPr/>
      </w:pPr>
      <w:r>
        <w:rPr>
          <w:rFonts w:ascii="Times New Roman;serif" w:hAnsi="Times New Roman;serif"/>
          <w:b w:val="false"/>
          <w:color w:val="000000"/>
          <w:sz w:val="10"/>
        </w:rPr>
        <w:t>(B)    </w:t>
      </w:r>
      <w:r>
        <w:rPr>
          <w:rFonts w:ascii="Times New Roman;serif" w:hAnsi="Times New Roman;serif"/>
          <w:b w:val="false"/>
          <w:color w:val="000000"/>
          <w:sz w:val="16"/>
        </w:rPr>
        <w:t>Includes 53,071 Solana (“SOL”) that are subject to a lock-up period through January 2028 and unlocked on a monthly basis based on a contractual schedule. The locked tokens are not accessible, are staked, and earn rewards during the lock up period.</w:t>
      </w:r>
    </w:p>
    <w:p>
      <w:pPr>
        <w:pStyle w:val="TextBody"/>
        <w:bidi w:val="0"/>
        <w:spacing w:lineRule="auto" w:line="288" w:before="0" w:after="180"/>
        <w:ind w:left="0" w:right="0" w:hanging="180"/>
        <w:jc w:val="both"/>
        <w:rPr/>
      </w:pPr>
      <w:r>
        <w:rPr>
          <w:rFonts w:ascii="Times New Roman;serif" w:hAnsi="Times New Roman;serif"/>
          <w:b w:val="false"/>
          <w:color w:val="000000"/>
          <w:sz w:val="10"/>
        </w:rPr>
        <w:t>(C)    </w:t>
      </w:r>
      <w:r>
        <w:rPr>
          <w:rFonts w:ascii="Times New Roman;serif" w:hAnsi="Times New Roman;serif"/>
          <w:b w:val="false"/>
          <w:color w:val="000000"/>
          <w:sz w:val="16"/>
        </w:rPr>
        <w:t xml:space="preserve">Includes various other digital asset balances, none of which individually represented more than 5% of the fair value of total digital assets held at fair value. </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Digital Assets Held at Cost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records digital assets held at cost, net of impairment, in “Digital assets” in the Consolidated Balance Sheets. The following table summarizes digital assets held at cost by the Company, and by third-party custodians on behalf of the Company, at December 31, 2025 and 2024:</w:t>
      </w:r>
    </w:p>
    <w:tbl>
      <w:tblPr>
        <w:tblW w:w="10205" w:type="dxa"/>
        <w:jc w:val="left"/>
        <w:tblInd w:w="0" w:type="dxa"/>
        <w:tblLayout w:type="fixed"/>
        <w:tblCellMar>
          <w:top w:w="28" w:type="dxa"/>
          <w:left w:w="28" w:type="dxa"/>
          <w:bottom w:w="28" w:type="dxa"/>
          <w:right w:w="28" w:type="dxa"/>
        </w:tblCellMar>
      </w:tblPr>
      <w:tblGrid>
        <w:gridCol w:w="583"/>
        <w:gridCol w:w="507"/>
        <w:gridCol w:w="512"/>
        <w:gridCol w:w="638"/>
        <w:gridCol w:w="638"/>
        <w:gridCol w:w="161"/>
        <w:gridCol w:w="109"/>
        <w:gridCol w:w="109"/>
        <w:gridCol w:w="109"/>
        <w:gridCol w:w="196"/>
        <w:gridCol w:w="646"/>
        <w:gridCol w:w="109"/>
        <w:gridCol w:w="109"/>
        <w:gridCol w:w="109"/>
        <w:gridCol w:w="109"/>
        <w:gridCol w:w="233"/>
        <w:gridCol w:w="771"/>
        <w:gridCol w:w="129"/>
        <w:gridCol w:w="109"/>
        <w:gridCol w:w="109"/>
        <w:gridCol w:w="109"/>
        <w:gridCol w:w="638"/>
        <w:gridCol w:w="638"/>
        <w:gridCol w:w="161"/>
        <w:gridCol w:w="109"/>
        <w:gridCol w:w="109"/>
        <w:gridCol w:w="109"/>
        <w:gridCol w:w="196"/>
        <w:gridCol w:w="556"/>
        <w:gridCol w:w="109"/>
        <w:gridCol w:w="109"/>
        <w:gridCol w:w="109"/>
        <w:gridCol w:w="109"/>
        <w:gridCol w:w="247"/>
        <w:gridCol w:w="703"/>
        <w:gridCol w:w="199"/>
      </w:tblGrid>
      <w:tr>
        <w:trPr/>
        <w:tc>
          <w:tcPr>
            <w:tcW w:w="583"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1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1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Cost Basis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Cost Basis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 Value</w:t>
            </w:r>
          </w:p>
        </w:tc>
      </w:tr>
      <w:tr>
        <w:trPr/>
        <w:tc>
          <w:tcPr>
            <w:tcW w:w="16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Digital assets held at cost:</w:t>
            </w:r>
          </w:p>
        </w:tc>
        <w:tc>
          <w:tcPr>
            <w:tcW w:w="14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HASH</w:t>
            </w:r>
            <w:r>
              <w:rPr>
                <w:rFonts w:ascii="Times New Roman;serif" w:hAnsi="Times New Roman;serif"/>
                <w:b w:val="false"/>
                <w:color w:val="000000"/>
                <w:sz w:val="10"/>
              </w:rPr>
              <w:t>(A)</w:t>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19,873,741,886 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11,691 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15,002,914,730 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1,506 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digital assets held at cost</w:t>
            </w:r>
          </w:p>
        </w:tc>
        <w:tc>
          <w:tcPr>
            <w:tcW w:w="14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11,691 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11,691 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1,506 </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180"/>
        <w:jc w:val="both"/>
        <w:rPr/>
      </w:pPr>
      <w:r>
        <w:rPr>
          <w:rFonts w:ascii="Times New Roman;serif" w:hAnsi="Times New Roman;serif"/>
          <w:b w:val="false"/>
          <w:color w:val="000000"/>
          <w:sz w:val="10"/>
        </w:rPr>
        <w:t>(A)    </w:t>
      </w:r>
      <w:r>
        <w:rPr>
          <w:rFonts w:ascii="Times New Roman;serif" w:hAnsi="Times New Roman;serif"/>
          <w:b w:val="false"/>
          <w:color w:val="000000"/>
          <w:sz w:val="16"/>
        </w:rPr>
        <w:t>Represents native utility tokens used by the Company as a medium of exchange (“HASH”), maintained by an affiliated entity. See Note 11 for additional information regarding the related party relationship.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293370"/>
                <wp:effectExtent l="0" t="0" r="0" b="0"/>
                <wp:wrapNone/>
                <wp:docPr id="152" name="Frame150"/>
                <a:graphic xmlns:a="http://schemas.openxmlformats.org/drawingml/2006/main">
                  <a:graphicData uri="http://schemas.microsoft.com/office/word/2010/wordprocessingShape">
                    <wps:wsp>
                      <wps:cNvSpPr txBox="1"/>
                      <wps:spPr>
                        <a:xfrm>
                          <a:off x="0" y="0"/>
                          <a:ext cx="6480175" cy="293370"/>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150</w:t>
                            </w:r>
                          </w:p>
                          <w:p>
                            <w:pPr>
                              <w:pStyle w:val="TextBody"/>
                              <w:bidi w:val="0"/>
                              <w:spacing w:lineRule="auto" w:line="288" w:before="0" w:after="180"/>
                              <w:jc w:val="left"/>
                              <w:rPr/>
                            </w:pPr>
                            <w:hyperlink w:anchor="i8e13d1b6f3764394b0e424082d2ac79f_151">
                              <w:r>
                                <w:rPr>
                                  <w:rStyle w:val="InternetLink"/>
                                  <w:rFonts w:ascii="Times New Roman;serif" w:hAnsi="Times New Roman;serif"/>
                                  <w:b w:val="false"/>
                                  <w:color w:val="0000FF"/>
                                  <w:sz w:val="20"/>
                                  <w:u w:val="single"/>
                                </w:rPr>
                                <w:t>Table of Contents</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150</w:t>
                      </w:r>
                    </w:p>
                    <w:p>
                      <w:pPr>
                        <w:pStyle w:val="TextBody"/>
                        <w:bidi w:val="0"/>
                        <w:spacing w:lineRule="auto" w:line="288" w:before="0" w:after="180"/>
                        <w:jc w:val="left"/>
                        <w:rPr/>
                      </w:pPr>
                      <w:hyperlink w:anchor="i8e13d1b6f3764394b0e424082d2ac79f_151">
                        <w:r>
                          <w:rPr>
                            <w:rStyle w:val="InternetLink"/>
                            <w:rFonts w:ascii="Times New Roman;serif" w:hAnsi="Times New Roman;serif"/>
                            <w:b w:val="false"/>
                            <w:color w:val="0000FF"/>
                            <w:sz w:val="20"/>
                            <w:u w:val="single"/>
                          </w:rPr>
                          <w:t>Table of Contents</w:t>
                        </w:r>
                      </w:hyperlink>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FIGURE TECHNOLOGY SOLUTIONS,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tables in thousands, except share and per share data, units, ratios or as otherwise noted)</w:t>
      </w:r>
    </w:p>
    <w:p>
      <w:pPr>
        <w:pStyle w:val="TextBody"/>
        <w:bidi w:val="0"/>
        <w:spacing w:before="0" w:after="180"/>
        <w:jc w:val="center"/>
        <w:rPr/>
      </w:pPr>
      <w:r>
        <w:rPr/>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Digital Assets Activity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activities involving the Company’s digital assets for the years ended December 31, 2025 and 2024:</w:t>
      </w:r>
    </w:p>
    <w:tbl>
      <w:tblPr>
        <w:tblW w:w="8871" w:type="dxa"/>
        <w:jc w:val="left"/>
        <w:tblInd w:w="0" w:type="dxa"/>
        <w:tblLayout w:type="fixed"/>
        <w:tblCellMar>
          <w:top w:w="28" w:type="dxa"/>
          <w:left w:w="28" w:type="dxa"/>
          <w:bottom w:w="28" w:type="dxa"/>
          <w:right w:w="28" w:type="dxa"/>
        </w:tblCellMar>
      </w:tblPr>
      <w:tblGrid>
        <w:gridCol w:w="1492"/>
        <w:gridCol w:w="1314"/>
        <w:gridCol w:w="1319"/>
        <w:gridCol w:w="293"/>
        <w:gridCol w:w="968"/>
        <w:gridCol w:w="163"/>
        <w:gridCol w:w="109"/>
        <w:gridCol w:w="109"/>
        <w:gridCol w:w="109"/>
        <w:gridCol w:w="330"/>
        <w:gridCol w:w="1090"/>
        <w:gridCol w:w="184"/>
        <w:gridCol w:w="109"/>
        <w:gridCol w:w="109"/>
        <w:gridCol w:w="109"/>
        <w:gridCol w:w="209"/>
        <w:gridCol w:w="691"/>
        <w:gridCol w:w="164"/>
      </w:tblGrid>
      <w:tr>
        <w:trPr/>
        <w:tc>
          <w:tcPr>
            <w:tcW w:w="1492"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Held as Collateral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Held at Fair Value</w:t>
            </w:r>
            <w:r>
              <w:rPr>
                <w:rFonts w:ascii="Times New Roman;serif" w:hAnsi="Times New Roman;serif"/>
                <w:b/>
                <w:color w:val="000000"/>
                <w:sz w:val="10"/>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Held at Cost</w:t>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December 31, 2023</w:t>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5,865 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6"/>
              </w:rPr>
              <w:t>Purchases</w:t>
            </w:r>
            <w:r>
              <w:rPr>
                <w:rFonts w:ascii="Times New Roman;serif" w:hAnsi="Times New Roman;serif"/>
                <w:b w:val="false"/>
                <w:color w:val="000000"/>
                <w:sz w:val="10"/>
              </w:rPr>
              <w:t>(B)</w:t>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11,558 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6"/>
              </w:rPr>
              <w:t>Sales</w:t>
            </w:r>
            <w:r>
              <w:rPr>
                <w:rFonts w:ascii="Times New Roman;serif" w:hAnsi="Times New Roman;serif"/>
                <w:b w:val="false"/>
                <w:color w:val="000000"/>
                <w:sz w:val="10"/>
              </w:rPr>
              <w:t>(C)</w:t>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(3,279)</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6"/>
              </w:rPr>
              <w:t>Collateral received</w:t>
            </w:r>
            <w:r>
              <w:rPr>
                <w:rFonts w:ascii="Times New Roman;serif" w:hAnsi="Times New Roman;serif"/>
                <w:b w:val="false"/>
                <w:color w:val="000000"/>
                <w:sz w:val="10"/>
              </w:rPr>
              <w:t>(D)(E)</w:t>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57,503 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6"/>
              </w:rPr>
              <w:t>Collateral returned</w:t>
            </w:r>
            <w:r>
              <w:rPr>
                <w:rFonts w:ascii="Times New Roman;serif" w:hAnsi="Times New Roman;serif"/>
                <w:b w:val="false"/>
                <w:color w:val="000000"/>
                <w:sz w:val="10"/>
              </w:rPr>
              <w:t>(D)(E)</w:t>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(6,121)</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6"/>
              </w:rPr>
              <w:t>Gains</w:t>
            </w:r>
            <w:r>
              <w:rPr>
                <w:rFonts w:ascii="Times New Roman;serif" w:hAnsi="Times New Roman;serif"/>
                <w:b w:val="false"/>
                <w:color w:val="000000"/>
                <w:sz w:val="10"/>
              </w:rPr>
              <w:t>(F)</w:t>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2,471 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Contribution from Related Party</w:t>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1,500 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6"/>
              </w:rPr>
              <w:t>Distributions from Fund I</w:t>
            </w:r>
            <w:r>
              <w:rPr>
                <w:rFonts w:ascii="Times New Roman;serif" w:hAnsi="Times New Roman;serif"/>
                <w:b w:val="false"/>
                <w:color w:val="000000"/>
                <w:sz w:val="10"/>
              </w:rPr>
              <w:t>(G)</w:t>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547 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Impairment of digital assets</w:t>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(5,859)</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6"/>
              </w:rPr>
              <w:t>Change in fair value</w:t>
            </w:r>
            <w:r>
              <w:rPr>
                <w:rFonts w:ascii="Times New Roman;serif" w:hAnsi="Times New Roman;serif"/>
                <w:b w:val="false"/>
                <w:color w:val="000000"/>
                <w:sz w:val="10"/>
              </w:rPr>
              <w:t>(E)(H)</w:t>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13,057 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7,910 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December 31, 2024</w:t>
            </w:r>
          </w:p>
        </w:tc>
        <w:tc>
          <w:tcPr>
            <w:tcW w:w="12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64,439 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19,207 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1,506 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6"/>
              </w:rPr>
              <w:t>Purchases</w:t>
            </w:r>
            <w:r>
              <w:rPr>
                <w:rFonts w:ascii="Times New Roman;serif" w:hAnsi="Times New Roman;serif"/>
                <w:b w:val="false"/>
                <w:color w:val="000000"/>
                <w:sz w:val="10"/>
              </w:rPr>
              <w:t>(B)</w:t>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26,943 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3,864 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6"/>
              </w:rPr>
              <w:t>Sales</w:t>
            </w:r>
            <w:r>
              <w:rPr>
                <w:rFonts w:ascii="Times New Roman;serif" w:hAnsi="Times New Roman;serif"/>
                <w:b w:val="false"/>
                <w:color w:val="000000"/>
                <w:sz w:val="10"/>
              </w:rPr>
              <w:t>(C)</w:t>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(8,922)</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(3,979)</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6"/>
              </w:rPr>
              <w:t>Collateral received</w:t>
            </w:r>
            <w:r>
              <w:rPr>
                <w:rFonts w:ascii="Times New Roman;serif" w:hAnsi="Times New Roman;serif"/>
                <w:b w:val="false"/>
                <w:color w:val="000000"/>
                <w:sz w:val="10"/>
              </w:rPr>
              <w:t>(D)</w:t>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63,724 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6"/>
              </w:rPr>
              <w:t>Collateral returned</w:t>
            </w:r>
            <w:r>
              <w:rPr>
                <w:rFonts w:ascii="Times New Roman;serif" w:hAnsi="Times New Roman;serif"/>
                <w:b w:val="false"/>
                <w:color w:val="000000"/>
                <w:sz w:val="10"/>
              </w:rPr>
              <w:t>(D)</w:t>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(71,500)</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6"/>
              </w:rPr>
              <w:t>Gains</w:t>
            </w:r>
            <w:r>
              <w:rPr>
                <w:rFonts w:ascii="Times New Roman;serif" w:hAnsi="Times New Roman;serif"/>
                <w:b w:val="false"/>
                <w:color w:val="000000"/>
                <w:sz w:val="10"/>
              </w:rPr>
              <w:t>(F)</w:t>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5,872 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6"/>
              </w:rPr>
              <w:t>Distributions from Fund I</w:t>
            </w:r>
            <w:r>
              <w:rPr>
                <w:rFonts w:ascii="Times New Roman;serif" w:hAnsi="Times New Roman;serif"/>
                <w:b w:val="false"/>
                <w:color w:val="000000"/>
                <w:sz w:val="10"/>
              </w:rPr>
              <w:t>(G)</w:t>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2,042 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6"/>
              </w:rPr>
              <w:t>Provenance Blockchain Foundation term note settlement</w:t>
            </w:r>
            <w:r>
              <w:rPr>
                <w:rFonts w:ascii="Times New Roman;serif" w:hAnsi="Times New Roman;serif"/>
                <w:b w:val="false"/>
                <w:color w:val="000000"/>
                <w:sz w:val="10"/>
              </w:rPr>
              <w:t>(I)</w:t>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10,187 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6"/>
              </w:rPr>
              <w:t>Change in fair value</w:t>
            </w:r>
            <w:r>
              <w:rPr>
                <w:rFonts w:ascii="Times New Roman;serif" w:hAnsi="Times New Roman;serif"/>
                <w:b w:val="false"/>
                <w:color w:val="000000"/>
                <w:sz w:val="10"/>
              </w:rPr>
              <w:t>(H)</w:t>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(4,094)</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(9,200)</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December 31, 2025</w:t>
            </w:r>
          </w:p>
        </w:tc>
        <w:tc>
          <w:tcPr>
            <w:tcW w:w="2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52,569 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35,942 </w:t>
            </w:r>
          </w:p>
        </w:tc>
        <w:tc>
          <w:tcPr>
            <w:tcW w:w="1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11,691 </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both"/>
        <w:rPr/>
      </w:pPr>
      <w:r>
        <w:rPr>
          <w:rFonts w:ascii="Times New Roman;serif" w:hAnsi="Times New Roman;serif"/>
          <w:b w:val="false"/>
          <w:color w:val="000000"/>
          <w:sz w:val="10"/>
        </w:rPr>
        <w:t>(A)</w:t>
      </w:r>
      <w:r>
        <w:rPr>
          <w:color w:val="000000"/>
        </w:rPr>
        <w:t xml:space="preserve"> </w:t>
      </w:r>
      <w:r>
        <w:rPr>
          <w:rFonts w:ascii="Times New Roman;serif" w:hAnsi="Times New Roman;serif"/>
          <w:b w:val="false"/>
          <w:color w:val="000000"/>
          <w:sz w:val="16"/>
        </w:rPr>
        <w:t xml:space="preserve">Period activity for the year ended December 31, 2024 has been recast to reflect the reclassification of payment stablecoins from “Digital assets” to “Cash and cash equivalents”. This change resulted in a $(15.2) million change to Purchases activity and a $12.8 million change to Sales activity for the year ended December 31, 2024. See Note 2, Change in Accounting Principle, for further details. There was no impact to the balance at December 31, 2023. </w:t>
      </w:r>
    </w:p>
    <w:p>
      <w:pPr>
        <w:pStyle w:val="TextBody"/>
        <w:bidi w:val="0"/>
        <w:spacing w:lineRule="auto" w:line="288" w:before="0" w:after="0"/>
        <w:ind w:left="0" w:right="0" w:hanging="180"/>
        <w:jc w:val="both"/>
        <w:rPr/>
      </w:pPr>
      <w:r>
        <w:rPr>
          <w:rFonts w:ascii="Times New Roman;serif" w:hAnsi="Times New Roman;serif"/>
          <w:b w:val="false"/>
          <w:color w:val="000000"/>
          <w:sz w:val="10"/>
        </w:rPr>
        <w:t>(B)</w:t>
      </w:r>
      <w:r>
        <w:rPr>
          <w:color w:val="000000"/>
        </w:rPr>
        <w:t xml:space="preserve"> </w:t>
      </w:r>
      <w:r>
        <w:rPr>
          <w:rFonts w:ascii="Times New Roman;serif" w:hAnsi="Times New Roman;serif"/>
          <w:b w:val="false"/>
          <w:color w:val="000000"/>
          <w:sz w:val="16"/>
        </w:rPr>
        <w:t>Includes receipts of digital assets held for sale resulting from the disbursement of cash.</w:t>
      </w:r>
    </w:p>
    <w:p>
      <w:pPr>
        <w:pStyle w:val="TextBody"/>
        <w:bidi w:val="0"/>
        <w:spacing w:lineRule="auto" w:line="288" w:before="0" w:after="0"/>
        <w:ind w:left="0" w:right="0" w:hanging="180"/>
        <w:jc w:val="both"/>
        <w:rPr/>
      </w:pPr>
      <w:r>
        <w:rPr>
          <w:rFonts w:ascii="Times New Roman;serif" w:hAnsi="Times New Roman;serif"/>
          <w:b w:val="false"/>
          <w:color w:val="000000"/>
          <w:sz w:val="10"/>
        </w:rPr>
        <w:t>(C)</w:t>
      </w:r>
      <w:r>
        <w:rPr>
          <w:color w:val="000000"/>
        </w:rPr>
        <w:t xml:space="preserve"> </w:t>
      </w:r>
      <w:r>
        <w:rPr>
          <w:rFonts w:ascii="Times New Roman;serif" w:hAnsi="Times New Roman;serif"/>
          <w:b w:val="false"/>
          <w:color w:val="000000"/>
          <w:sz w:val="16"/>
        </w:rPr>
        <w:t>Includes transactions related to the settlement and transfer of digital assets held for sale in exchange for the receipt of cash.</w:t>
      </w:r>
    </w:p>
    <w:p>
      <w:pPr>
        <w:pStyle w:val="TextBody"/>
        <w:bidi w:val="0"/>
        <w:spacing w:lineRule="auto" w:line="288" w:before="0" w:after="0"/>
        <w:ind w:left="0" w:right="0" w:hanging="180"/>
        <w:jc w:val="both"/>
        <w:rPr/>
      </w:pPr>
      <w:r>
        <w:rPr>
          <w:rFonts w:ascii="Times New Roman;serif" w:hAnsi="Times New Roman;serif"/>
          <w:b w:val="false"/>
          <w:color w:val="000000"/>
          <w:sz w:val="10"/>
        </w:rPr>
        <w:t xml:space="preserve">(D) </w:t>
      </w:r>
      <w:r>
        <w:rPr>
          <w:rFonts w:ascii="Times New Roman;serif" w:hAnsi="Times New Roman;serif"/>
          <w:b w:val="false"/>
          <w:color w:val="000000"/>
          <w:sz w:val="16"/>
        </w:rPr>
        <w:t xml:space="preserve">Collateral received and returned includes movements impacting digital assets held as collateral associated with borrower personal loan activities which can include receipt of digital assets held as collateral related to loan originations, combined loan to value maintenance, and returns of collateral owed to the borrower once a loan has been repaid. </w:t>
      </w:r>
    </w:p>
    <w:p>
      <w:pPr>
        <w:pStyle w:val="TextBody"/>
        <w:bidi w:val="0"/>
        <w:spacing w:lineRule="auto" w:line="288" w:before="0" w:after="0"/>
        <w:ind w:left="0" w:right="0" w:hanging="180"/>
        <w:jc w:val="both"/>
        <w:rPr/>
      </w:pPr>
      <w:r>
        <w:rPr>
          <w:rFonts w:ascii="Times New Roman;serif" w:hAnsi="Times New Roman;serif"/>
          <w:b w:val="false"/>
          <w:color w:val="000000"/>
          <w:sz w:val="10"/>
        </w:rPr>
        <w:t xml:space="preserve">(E) </w:t>
      </w:r>
      <w:r>
        <w:rPr>
          <w:rFonts w:ascii="Times New Roman;serif" w:hAnsi="Times New Roman;serif"/>
          <w:b w:val="false"/>
          <w:color w:val="000000"/>
          <w:sz w:val="16"/>
        </w:rPr>
        <w:t>Change in fair value for digital assets held as collateral has been corrected to disclose the change in fair value for the year ended December 31, 2024 of $13.1 million. The correction resulted in a net decrease to collateral received and collateral returned for the year ended December 31, 2024 by the same amount.</w:t>
      </w:r>
    </w:p>
    <w:p>
      <w:pPr>
        <w:pStyle w:val="TextBody"/>
        <w:bidi w:val="0"/>
        <w:spacing w:lineRule="auto" w:line="288" w:before="0" w:after="0"/>
        <w:ind w:left="0" w:right="0" w:hanging="180"/>
        <w:jc w:val="both"/>
        <w:rPr/>
      </w:pPr>
      <w:r>
        <w:rPr>
          <w:rFonts w:ascii="Times New Roman;serif" w:hAnsi="Times New Roman;serif"/>
          <w:b w:val="false"/>
          <w:color w:val="000000"/>
          <w:sz w:val="10"/>
        </w:rPr>
        <w:t>(F)</w:t>
      </w:r>
      <w:r>
        <w:rPr>
          <w:color w:val="000000"/>
        </w:rPr>
        <w:t xml:space="preserve"> </w:t>
      </w:r>
      <w:r>
        <w:rPr>
          <w:rFonts w:ascii="Times New Roman;serif" w:hAnsi="Times New Roman;serif"/>
          <w:b w:val="false"/>
          <w:color w:val="000000"/>
          <w:sz w:val="16"/>
        </w:rPr>
        <w:t>Includes realized gains incurred on the sale of digital assets held for sale, and the recognition of income associated to blockchain staking rewards which are reflected in “Other (expense) income, net” in the Consolidated Statements of Operations. No realized gains were recorded for digital assets held as collateral, as the liquidation of collateral reduces the corresponding liability and cash proceeds are applied to the borrower’s personal loan balance.</w:t>
      </w:r>
    </w:p>
    <w:p>
      <w:pPr>
        <w:pStyle w:val="TextBody"/>
        <w:bidi w:val="0"/>
        <w:spacing w:lineRule="auto" w:line="288" w:before="0" w:after="0"/>
        <w:ind w:left="0" w:right="0" w:hanging="180"/>
        <w:jc w:val="both"/>
        <w:rPr/>
      </w:pPr>
      <w:r>
        <w:rPr>
          <w:rFonts w:ascii="Times New Roman;serif" w:hAnsi="Times New Roman;serif"/>
          <w:b w:val="false"/>
          <w:color w:val="000000"/>
          <w:sz w:val="10"/>
        </w:rPr>
        <w:t>(G)</w:t>
      </w:r>
      <w:r>
        <w:rPr>
          <w:color w:val="000000"/>
        </w:rPr>
        <w:t xml:space="preserve"> </w:t>
      </w:r>
      <w:r>
        <w:rPr>
          <w:rFonts w:ascii="Times New Roman;serif" w:hAnsi="Times New Roman;serif"/>
          <w:b w:val="false"/>
          <w:color w:val="000000"/>
          <w:sz w:val="16"/>
          <w:shd w:fill="FFFFFF" w:val="clear"/>
        </w:rPr>
        <w:t xml:space="preserve">Represents distributions of digital assets received from SOL Opportunity Fund L.P. </w:t>
      </w:r>
      <w:r>
        <w:rPr>
          <w:rFonts w:ascii="Times New Roman;serif" w:hAnsi="Times New Roman;serif"/>
          <w:b w:val="false"/>
          <w:color w:val="000000"/>
          <w:sz w:val="16"/>
        </w:rPr>
        <w:t xml:space="preserve">(“Domestic Solana Fund”), </w:t>
      </w:r>
      <w:r>
        <w:rPr>
          <w:rFonts w:ascii="Times New Roman;serif" w:hAnsi="Times New Roman;serif"/>
          <w:b w:val="false"/>
          <w:color w:val="000000"/>
          <w:sz w:val="16"/>
          <w:shd w:fill="FFFFFF" w:val="clear"/>
        </w:rPr>
        <w:t>a dom</w:t>
      </w:r>
      <w:r>
        <w:rPr>
          <w:rFonts w:ascii="Times New Roman;serif" w:hAnsi="Times New Roman;serif"/>
          <w:b w:val="false"/>
          <w:color w:val="000000"/>
          <w:sz w:val="16"/>
        </w:rPr>
        <w:t>estic fund that invests primarily in SOL.</w:t>
      </w:r>
    </w:p>
    <w:p>
      <w:pPr>
        <w:pStyle w:val="TextBody"/>
        <w:bidi w:val="0"/>
        <w:spacing w:lineRule="auto" w:line="288" w:before="0" w:after="0"/>
        <w:ind w:left="0" w:right="0" w:hanging="180"/>
        <w:jc w:val="both"/>
        <w:rPr/>
      </w:pPr>
      <w:r>
        <w:rPr>
          <w:rFonts w:ascii="Times New Roman;serif" w:hAnsi="Times New Roman;serif"/>
          <w:b w:val="false"/>
          <w:color w:val="000000"/>
          <w:sz w:val="10"/>
        </w:rPr>
        <w:t xml:space="preserve">(H) </w:t>
      </w:r>
      <w:r>
        <w:rPr>
          <w:rFonts w:ascii="Times New Roman;serif" w:hAnsi="Times New Roman;serif"/>
          <w:b w:val="false"/>
          <w:color w:val="000000"/>
          <w:sz w:val="16"/>
        </w:rPr>
        <w:t>There is a corresponding liability to return digital assets held as collateral that is an embedded derivative. The embedded derivative and the host contract are reported within “Other current liabilities” on the Consolidated Balance Sheets. The change in the fair value of the embedded derivative and the change in the digital assets held as collateral have a naturally offsetting relationship and are recorded within “Other (expense) income, net” on the Consolidated Statements of Operations.</w:t>
      </w:r>
    </w:p>
    <w:p>
      <w:pPr>
        <w:pStyle w:val="TextBody"/>
        <w:bidi w:val="0"/>
        <w:spacing w:lineRule="auto" w:line="288" w:before="0" w:after="180"/>
        <w:ind w:left="0" w:right="0" w:hanging="180"/>
        <w:jc w:val="both"/>
        <w:rPr/>
      </w:pPr>
      <w:r>
        <w:rPr>
          <w:rFonts w:ascii="Times New Roman;serif" w:hAnsi="Times New Roman;serif"/>
          <w:b w:val="false"/>
          <w:color w:val="000000"/>
          <w:sz w:val="10"/>
        </w:rPr>
        <w:t>(I)</w:t>
      </w:r>
      <w:r>
        <w:rPr>
          <w:color w:val="000000"/>
        </w:rPr>
        <w:t xml:space="preserve"> </w:t>
      </w:r>
      <w:r>
        <w:rPr>
          <w:rFonts w:ascii="Times New Roman;serif" w:hAnsi="Times New Roman;serif"/>
          <w:b w:val="false"/>
          <w:color w:val="000000"/>
          <w:sz w:val="16"/>
        </w:rPr>
        <w:t>See Note 11 for information on the Provenance Blockchain Foundation term note settlement.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293370"/>
                <wp:effectExtent l="0" t="0" r="0" b="0"/>
                <wp:wrapNone/>
                <wp:docPr id="153" name="Frame151"/>
                <a:graphic xmlns:a="http://schemas.openxmlformats.org/drawingml/2006/main">
                  <a:graphicData uri="http://schemas.microsoft.com/office/word/2010/wordprocessingShape">
                    <wps:wsp>
                      <wps:cNvSpPr txBox="1"/>
                      <wps:spPr>
                        <a:xfrm>
                          <a:off x="0" y="0"/>
                          <a:ext cx="6480175" cy="293370"/>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151</w:t>
                            </w:r>
                          </w:p>
                          <w:p>
                            <w:pPr>
                              <w:pStyle w:val="TextBody"/>
                              <w:bidi w:val="0"/>
                              <w:spacing w:lineRule="auto" w:line="288" w:before="0" w:after="180"/>
                              <w:jc w:val="left"/>
                              <w:rPr/>
                            </w:pPr>
                            <w:hyperlink w:anchor="i8e13d1b6f3764394b0e424082d2ac79f_151">
                              <w:r>
                                <w:rPr>
                                  <w:rStyle w:val="InternetLink"/>
                                  <w:rFonts w:ascii="Times New Roman;serif" w:hAnsi="Times New Roman;serif"/>
                                  <w:b w:val="false"/>
                                  <w:color w:val="0000FF"/>
                                  <w:sz w:val="20"/>
                                  <w:u w:val="single"/>
                                </w:rPr>
                                <w:t>Table of Contents</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151</w:t>
                      </w:r>
                    </w:p>
                    <w:p>
                      <w:pPr>
                        <w:pStyle w:val="TextBody"/>
                        <w:bidi w:val="0"/>
                        <w:spacing w:lineRule="auto" w:line="288" w:before="0" w:after="180"/>
                        <w:jc w:val="left"/>
                        <w:rPr/>
                      </w:pPr>
                      <w:hyperlink w:anchor="i8e13d1b6f3764394b0e424082d2ac79f_151">
                        <w:r>
                          <w:rPr>
                            <w:rStyle w:val="InternetLink"/>
                            <w:rFonts w:ascii="Times New Roman;serif" w:hAnsi="Times New Roman;serif"/>
                            <w:b w:val="false"/>
                            <w:color w:val="0000FF"/>
                            <w:sz w:val="20"/>
                            <w:u w:val="single"/>
                          </w:rPr>
                          <w:t>Table of Contents</w:t>
                        </w:r>
                      </w:hyperlink>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FIGURE TECHNOLOGY SOLUTIONS,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tables in thousands, except share and per share data, units, ratios or as otherwise noted)</w:t>
      </w:r>
    </w:p>
    <w:p>
      <w:pPr>
        <w:pStyle w:val="TextBody"/>
        <w:bidi w:val="0"/>
        <w:spacing w:before="0" w:after="180"/>
        <w:jc w:val="center"/>
        <w:rPr/>
      </w:pPr>
      <w:r>
        <w:rPr/>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Equity Investments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holds the following minority investments in certain entities not considered significant to the Company and recorded within “Other non-current assets” in the Consolidated Balance Sheets, with the Company’s share of net income of equity-method investees recorded as “Other revenue” in the Consolidated Statements of Operations. The following table presents the carrying value of these investments at December 31, 2025 and 2024:</w:t>
      </w:r>
    </w:p>
    <w:tbl>
      <w:tblPr>
        <w:tblW w:w="6085" w:type="dxa"/>
        <w:jc w:val="left"/>
        <w:tblInd w:w="0" w:type="dxa"/>
        <w:tblLayout w:type="fixed"/>
        <w:tblCellMar>
          <w:top w:w="28" w:type="dxa"/>
          <w:left w:w="28" w:type="dxa"/>
          <w:bottom w:w="28" w:type="dxa"/>
          <w:right w:w="28" w:type="dxa"/>
        </w:tblCellMar>
      </w:tblPr>
      <w:tblGrid>
        <w:gridCol w:w="981"/>
        <w:gridCol w:w="863"/>
        <w:gridCol w:w="870"/>
        <w:gridCol w:w="341"/>
        <w:gridCol w:w="969"/>
        <w:gridCol w:w="190"/>
        <w:gridCol w:w="109"/>
        <w:gridCol w:w="109"/>
        <w:gridCol w:w="109"/>
        <w:gridCol w:w="334"/>
        <w:gridCol w:w="948"/>
        <w:gridCol w:w="262"/>
      </w:tblGrid>
      <w:tr>
        <w:trPr/>
        <w:tc>
          <w:tcPr>
            <w:tcW w:w="981"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Equity method investees:</w:t>
            </w:r>
          </w:p>
        </w:tc>
        <w:tc>
          <w:tcPr>
            <w:tcW w:w="15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Domestic Solana Fund</w:t>
            </w:r>
            <w:r>
              <w:rPr>
                <w:rFonts w:ascii="Times New Roman;serif" w:hAnsi="Times New Roman;serif"/>
                <w:b w:val="false"/>
                <w:color w:val="000000"/>
                <w:sz w:val="10"/>
              </w:rPr>
              <w:t>(A)</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2,104 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5,748 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Reflow</w:t>
            </w:r>
            <w:r>
              <w:rPr>
                <w:rFonts w:ascii="Times New Roman;serif" w:hAnsi="Times New Roman;serif"/>
                <w:b w:val="false"/>
                <w:color w:val="000000"/>
                <w:sz w:val="10"/>
              </w:rPr>
              <w:t>(B)</w:t>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800 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920 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Fig SIX</w:t>
            </w:r>
            <w:r>
              <w:rPr>
                <w:rFonts w:ascii="Times New Roman;serif" w:hAnsi="Times New Roman;serif"/>
                <w:b w:val="false"/>
                <w:color w:val="000000"/>
                <w:sz w:val="10"/>
              </w:rPr>
              <w:t>(C)</w:t>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2,477 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5,381 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6,668 </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Measurement alternative investments:</w:t>
            </w:r>
          </w:p>
        </w:tc>
        <w:tc>
          <w:tcPr>
            <w:tcW w:w="15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JAM FINTOP</w:t>
            </w:r>
            <w:r>
              <w:rPr>
                <w:rFonts w:ascii="Times New Roman;serif" w:hAnsi="Times New Roman;serif"/>
                <w:b w:val="false"/>
                <w:color w:val="000000"/>
                <w:sz w:val="10"/>
              </w:rPr>
              <w:t>(D)</w:t>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1,419 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1,542 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equity investments</w:t>
            </w:r>
          </w:p>
        </w:tc>
        <w:tc>
          <w:tcPr>
            <w:tcW w:w="3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6,800 </w:t>
            </w:r>
          </w:p>
        </w:tc>
        <w:tc>
          <w:tcPr>
            <w:tcW w:w="1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8,210 </w:t>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both"/>
        <w:rPr/>
      </w:pPr>
      <w:r>
        <w:rPr>
          <w:rFonts w:ascii="Times New Roman;serif" w:hAnsi="Times New Roman;serif"/>
          <w:b w:val="false"/>
          <w:color w:val="000000"/>
          <w:sz w:val="10"/>
        </w:rPr>
        <w:t>(A)    </w:t>
      </w:r>
      <w:r>
        <w:rPr>
          <w:rFonts w:ascii="Times New Roman;serif" w:hAnsi="Times New Roman;serif"/>
          <w:b w:val="false"/>
          <w:color w:val="000000"/>
          <w:sz w:val="16"/>
        </w:rPr>
        <w:t>Represents a 4.8% equity interest in Domestic Solana Fund at December 31, 2025 and 2024.</w:t>
      </w:r>
    </w:p>
    <w:p>
      <w:pPr>
        <w:pStyle w:val="TextBody"/>
        <w:bidi w:val="0"/>
        <w:spacing w:lineRule="auto" w:line="288" w:before="0" w:after="0"/>
        <w:ind w:left="0" w:right="0" w:hanging="180"/>
        <w:jc w:val="both"/>
        <w:rPr/>
      </w:pPr>
      <w:r>
        <w:rPr>
          <w:rFonts w:ascii="Times New Roman;serif" w:hAnsi="Times New Roman;serif"/>
          <w:b w:val="false"/>
          <w:color w:val="000000"/>
          <w:sz w:val="10"/>
        </w:rPr>
        <w:t>(B)    </w:t>
      </w:r>
      <w:r>
        <w:rPr>
          <w:rFonts w:ascii="Times New Roman;serif" w:hAnsi="Times New Roman;serif"/>
          <w:b w:val="false"/>
          <w:color w:val="000000"/>
          <w:sz w:val="16"/>
        </w:rPr>
        <w:t>Represents a 17.3% interest in Reflow Services LLC (“Reflow”), an SEC-registered investment adviser, at December 31, 2025 and 2024.</w:t>
      </w:r>
    </w:p>
    <w:p>
      <w:pPr>
        <w:pStyle w:val="TextBody"/>
        <w:bidi w:val="0"/>
        <w:spacing w:lineRule="auto" w:line="288" w:before="0" w:after="0"/>
        <w:ind w:left="0" w:right="0" w:hanging="180"/>
        <w:jc w:val="both"/>
        <w:rPr/>
      </w:pPr>
      <w:r>
        <w:rPr>
          <w:rFonts w:ascii="Times New Roman;serif" w:hAnsi="Times New Roman;serif"/>
          <w:b w:val="false"/>
          <w:color w:val="000000"/>
          <w:sz w:val="10"/>
        </w:rPr>
        <w:t>(C)    </w:t>
      </w:r>
      <w:r>
        <w:rPr>
          <w:rFonts w:ascii="Times New Roman;serif" w:hAnsi="Times New Roman;serif"/>
          <w:b w:val="false"/>
          <w:color w:val="000000"/>
          <w:sz w:val="16"/>
        </w:rPr>
        <w:t xml:space="preserve">Represents a 5.0% equity interest in Fig SIX Mortgage, LLC (“Fig SIX”), a company domiciled in the United States of America, at December 31, 2025. </w:t>
      </w:r>
    </w:p>
    <w:p>
      <w:pPr>
        <w:pStyle w:val="TextBody"/>
        <w:bidi w:val="0"/>
        <w:spacing w:lineRule="auto" w:line="288" w:before="0" w:after="180"/>
        <w:ind w:left="0" w:right="0" w:hanging="180"/>
        <w:jc w:val="both"/>
        <w:rPr/>
      </w:pPr>
      <w:r>
        <w:rPr>
          <w:rFonts w:ascii="Times New Roman;serif" w:hAnsi="Times New Roman;serif"/>
          <w:b w:val="false"/>
          <w:color w:val="000000"/>
          <w:sz w:val="10"/>
        </w:rPr>
        <w:t>(D)    </w:t>
      </w:r>
      <w:r>
        <w:rPr>
          <w:rFonts w:ascii="Times New Roman;serif" w:hAnsi="Times New Roman;serif"/>
          <w:b w:val="false"/>
          <w:color w:val="000000"/>
          <w:sz w:val="16"/>
        </w:rPr>
        <w:t>Represents a 1.0% equity interest in JAM FINTOP Blockchain LP (“JAM FINTOP”), an investment company domiciled in the United States of America, at December 31, 2025 and 2024.</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activities involving the Company’s equity investments:</w:t>
      </w:r>
    </w:p>
    <w:tbl>
      <w:tblPr>
        <w:tblW w:w="8953" w:type="dxa"/>
        <w:jc w:val="left"/>
        <w:tblInd w:w="0" w:type="dxa"/>
        <w:tblLayout w:type="fixed"/>
        <w:tblCellMar>
          <w:top w:w="28" w:type="dxa"/>
          <w:left w:w="28" w:type="dxa"/>
          <w:bottom w:w="28" w:type="dxa"/>
          <w:right w:w="28" w:type="dxa"/>
        </w:tblCellMar>
      </w:tblPr>
      <w:tblGrid>
        <w:gridCol w:w="966"/>
        <w:gridCol w:w="850"/>
        <w:gridCol w:w="853"/>
        <w:gridCol w:w="427"/>
        <w:gridCol w:w="1211"/>
        <w:gridCol w:w="237"/>
        <w:gridCol w:w="109"/>
        <w:gridCol w:w="109"/>
        <w:gridCol w:w="109"/>
        <w:gridCol w:w="648"/>
        <w:gridCol w:w="1840"/>
        <w:gridCol w:w="361"/>
        <w:gridCol w:w="109"/>
        <w:gridCol w:w="109"/>
        <w:gridCol w:w="109"/>
        <w:gridCol w:w="196"/>
        <w:gridCol w:w="556"/>
        <w:gridCol w:w="154"/>
      </w:tblGrid>
      <w:tr>
        <w:trPr/>
        <w:tc>
          <w:tcPr>
            <w:tcW w:w="966"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84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Equity Method Investees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Measurement Alternative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December 31, 2023</w:t>
            </w:r>
          </w:p>
        </w:tc>
        <w:tc>
          <w:tcPr>
            <w:tcW w:w="4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477 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8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1,542 </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 of investee earnings</w:t>
            </w:r>
          </w:p>
        </w:tc>
        <w:tc>
          <w:tcPr>
            <w:tcW w:w="16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3,698 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3,698 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 received</w:t>
            </w:r>
          </w:p>
        </w:tc>
        <w:tc>
          <w:tcPr>
            <w:tcW w:w="16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(854)</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(854)</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Additional contributions</w:t>
            </w:r>
          </w:p>
        </w:tc>
        <w:tc>
          <w:tcPr>
            <w:tcW w:w="16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3,347 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3,347 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Measurement alternative adjustments</w:t>
            </w:r>
          </w:p>
        </w:tc>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669" w:type="dxa"/>
            <w:gridSpan w:val="3"/>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December 31, 2024</w:t>
            </w:r>
          </w:p>
        </w:tc>
        <w:tc>
          <w:tcPr>
            <w:tcW w:w="4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6,668 </w:t>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8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1,542 </w:t>
            </w:r>
          </w:p>
        </w:tc>
        <w:tc>
          <w:tcPr>
            <w:tcW w:w="3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8,210 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 of investee earnings</w:t>
            </w:r>
          </w:p>
        </w:tc>
        <w:tc>
          <w:tcPr>
            <w:tcW w:w="16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(1,246)</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(1,246)</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 received</w:t>
            </w:r>
          </w:p>
        </w:tc>
        <w:tc>
          <w:tcPr>
            <w:tcW w:w="16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(2,643)</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(2,643)</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Additional contributions</w:t>
            </w:r>
          </w:p>
        </w:tc>
        <w:tc>
          <w:tcPr>
            <w:tcW w:w="16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2,602 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2,602 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Measurement alternative adjustments</w:t>
            </w:r>
          </w:p>
        </w:tc>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669" w:type="dxa"/>
            <w:gridSpan w:val="3"/>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December 31, 2025</w:t>
            </w:r>
          </w:p>
        </w:tc>
        <w:tc>
          <w:tcPr>
            <w:tcW w:w="4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5,381 </w:t>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8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1,419 </w:t>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6,800 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293370"/>
                <wp:effectExtent l="0" t="0" r="0" b="0"/>
                <wp:wrapNone/>
                <wp:docPr id="154" name="Frame152"/>
                <a:graphic xmlns:a="http://schemas.openxmlformats.org/drawingml/2006/main">
                  <a:graphicData uri="http://schemas.microsoft.com/office/word/2010/wordprocessingShape">
                    <wps:wsp>
                      <wps:cNvSpPr txBox="1"/>
                      <wps:spPr>
                        <a:xfrm>
                          <a:off x="0" y="0"/>
                          <a:ext cx="6480175" cy="293370"/>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152</w:t>
                            </w:r>
                          </w:p>
                          <w:p>
                            <w:pPr>
                              <w:pStyle w:val="TextBody"/>
                              <w:bidi w:val="0"/>
                              <w:spacing w:lineRule="auto" w:line="288" w:before="0" w:after="180"/>
                              <w:jc w:val="left"/>
                              <w:rPr/>
                            </w:pPr>
                            <w:hyperlink w:anchor="i8e13d1b6f3764394b0e424082d2ac79f_151">
                              <w:r>
                                <w:rPr>
                                  <w:rStyle w:val="InternetLink"/>
                                  <w:rFonts w:ascii="Times New Roman;serif" w:hAnsi="Times New Roman;serif"/>
                                  <w:b w:val="false"/>
                                  <w:color w:val="0000FF"/>
                                  <w:sz w:val="20"/>
                                  <w:u w:val="single"/>
                                </w:rPr>
                                <w:t>Table of Contents</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152</w:t>
                      </w:r>
                    </w:p>
                    <w:p>
                      <w:pPr>
                        <w:pStyle w:val="TextBody"/>
                        <w:bidi w:val="0"/>
                        <w:spacing w:lineRule="auto" w:line="288" w:before="0" w:after="180"/>
                        <w:jc w:val="left"/>
                        <w:rPr/>
                      </w:pPr>
                      <w:hyperlink w:anchor="i8e13d1b6f3764394b0e424082d2ac79f_151">
                        <w:r>
                          <w:rPr>
                            <w:rStyle w:val="InternetLink"/>
                            <w:rFonts w:ascii="Times New Roman;serif" w:hAnsi="Times New Roman;serif"/>
                            <w:b w:val="false"/>
                            <w:color w:val="0000FF"/>
                            <w:sz w:val="20"/>
                            <w:u w:val="single"/>
                          </w:rPr>
                          <w:t>Table of Contents</w:t>
                        </w:r>
                      </w:hyperlink>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FIGURE TECHNOLOGY SOLUTIONS,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tables in thousands, except share and per share data, units, ratios or as otherwise noted)</w:t>
      </w:r>
    </w:p>
    <w:p>
      <w:pPr>
        <w:pStyle w:val="TextBody"/>
        <w:bidi w:val="0"/>
        <w:spacing w:before="0" w:after="180"/>
        <w:jc w:val="center"/>
        <w:rPr/>
      </w:pPr>
      <w:r>
        <w:rPr/>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NOTE 4 – SERVICING</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servicing assets at December 31, 2025 and 2024:</w:t>
      </w:r>
    </w:p>
    <w:tbl>
      <w:tblPr>
        <w:tblW w:w="6681" w:type="dxa"/>
        <w:jc w:val="left"/>
        <w:tblInd w:w="0" w:type="dxa"/>
        <w:tblLayout w:type="fixed"/>
        <w:tblCellMar>
          <w:top w:w="28" w:type="dxa"/>
          <w:left w:w="28" w:type="dxa"/>
          <w:bottom w:w="28" w:type="dxa"/>
          <w:right w:w="28" w:type="dxa"/>
        </w:tblCellMar>
      </w:tblPr>
      <w:tblGrid>
        <w:gridCol w:w="571"/>
        <w:gridCol w:w="500"/>
        <w:gridCol w:w="504"/>
        <w:gridCol w:w="304"/>
        <w:gridCol w:w="1492"/>
        <w:gridCol w:w="169"/>
        <w:gridCol w:w="109"/>
        <w:gridCol w:w="109"/>
        <w:gridCol w:w="109"/>
        <w:gridCol w:w="412"/>
        <w:gridCol w:w="324"/>
        <w:gridCol w:w="326"/>
        <w:gridCol w:w="109"/>
        <w:gridCol w:w="109"/>
        <w:gridCol w:w="109"/>
        <w:gridCol w:w="257"/>
        <w:gridCol w:w="966"/>
        <w:gridCol w:w="202"/>
      </w:tblGrid>
      <w:tr>
        <w:trPr/>
        <w:tc>
          <w:tcPr>
            <w:tcW w:w="571"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492"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UPB of Underlying Loans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Loan Count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Carrying Value</w:t>
            </w:r>
            <w:r>
              <w:rPr>
                <w:rFonts w:ascii="Times New Roman;serif" w:hAnsi="Times New Roman;serif"/>
                <w:b/>
                <w:color w:val="000000"/>
                <w:sz w:val="10"/>
              </w:rPr>
              <w:t>(A)</w:t>
            </w:r>
          </w:p>
        </w:tc>
      </w:tr>
      <w:tr>
        <w:trPr/>
        <w:tc>
          <w:tcPr>
            <w:tcW w:w="1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HELOC loans</w:t>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4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12,783,215 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173 </w:t>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111,211 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Mortgage loans</w:t>
            </w:r>
          </w:p>
        </w:tc>
        <w:tc>
          <w:tcPr>
            <w:tcW w:w="1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147,268 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270 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1,853 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servicing assets</w:t>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4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12,930,483 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173,270 </w:t>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113,064 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UPB of Underlying Loans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Loan Count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Carrying Value</w:t>
            </w:r>
            <w:r>
              <w:rPr>
                <w:rFonts w:ascii="Times New Roman;serif" w:hAnsi="Times New Roman;serif"/>
                <w:b/>
                <w:color w:val="000000"/>
                <w:sz w:val="10"/>
              </w:rPr>
              <w:t>(A)</w:t>
            </w:r>
          </w:p>
        </w:tc>
      </w:tr>
      <w:tr>
        <w:trPr/>
        <w:tc>
          <w:tcPr>
            <w:tcW w:w="1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HELOC loans</w:t>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4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7,933,975 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113,413 </w:t>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86,465 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Mortgage loans</w:t>
            </w:r>
          </w:p>
        </w:tc>
        <w:tc>
          <w:tcPr>
            <w:tcW w:w="1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162,908 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294 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2,032 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servicing assets</w:t>
            </w:r>
          </w:p>
        </w:tc>
        <w:tc>
          <w:tcPr>
            <w:tcW w:w="3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4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8,096,883 </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113,707 </w:t>
            </w:r>
          </w:p>
        </w:tc>
        <w:tc>
          <w:tcPr>
            <w:tcW w:w="3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88,497 </w:t>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180"/>
        <w:jc w:val="both"/>
        <w:rPr/>
      </w:pPr>
      <w:r>
        <w:rPr>
          <w:rFonts w:ascii="Times New Roman;serif" w:hAnsi="Times New Roman;serif"/>
          <w:b w:val="false"/>
          <w:color w:val="000000"/>
          <w:sz w:val="10"/>
        </w:rPr>
        <w:t>(A)    </w:t>
      </w:r>
      <w:r>
        <w:rPr>
          <w:rFonts w:ascii="Times New Roman;serif" w:hAnsi="Times New Roman;serif"/>
          <w:b w:val="false"/>
          <w:color w:val="000000"/>
          <w:sz w:val="16"/>
        </w:rPr>
        <w:t>The Company records loan servicing assets at fair value. The total carrying value includes $63.8 million and $69.5 million of collateralized loan servicing rights at December 31, 2025 and 2024, respectively. See Notes 6 and 12 for additional information regarding the MSR financing arrangement and valuation of the Company’s servicing rights, respectively.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a rollforward of the Company’s servicing assets for the years ended December 31, 2025 and 2024:</w:t>
      </w:r>
    </w:p>
    <w:tbl>
      <w:tblPr>
        <w:tblW w:w="4250" w:type="dxa"/>
        <w:jc w:val="left"/>
        <w:tblInd w:w="0" w:type="dxa"/>
        <w:tblLayout w:type="fixed"/>
        <w:tblCellMar>
          <w:top w:w="28" w:type="dxa"/>
          <w:left w:w="28" w:type="dxa"/>
          <w:bottom w:w="28" w:type="dxa"/>
          <w:right w:w="28" w:type="dxa"/>
        </w:tblCellMar>
      </w:tblPr>
      <w:tblGrid>
        <w:gridCol w:w="1145"/>
        <w:gridCol w:w="1007"/>
        <w:gridCol w:w="1012"/>
        <w:gridCol w:w="196"/>
        <w:gridCol w:w="736"/>
        <w:gridCol w:w="154"/>
      </w:tblGrid>
      <w:tr>
        <w:trPr/>
        <w:tc>
          <w:tcPr>
            <w:tcW w:w="1145"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December 31, 2023</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55,860 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fair value due to:</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6"/>
              </w:rPr>
              <w:t>Additions</w:t>
            </w:r>
            <w:r>
              <w:rPr>
                <w:rFonts w:ascii="Times New Roman;serif" w:hAnsi="Times New Roman;serif"/>
                <w:b w:val="false"/>
                <w:color w:val="000000"/>
                <w:sz w:val="10"/>
              </w:rPr>
              <w:t>(A)</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50,557 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6"/>
              </w:rPr>
              <w:t>Realization of cash flows</w:t>
            </w:r>
            <w:r>
              <w:rPr>
                <w:rFonts w:ascii="Times New Roman;serif" w:hAnsi="Times New Roman;serif"/>
                <w:b w:val="false"/>
                <w:color w:val="000000"/>
                <w:sz w:val="10"/>
              </w:rPr>
              <w:t>(B)</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(19,623)</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valuation inputs and assumptions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1,703 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impact of change to fair value</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32,637 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December 31, 2024</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88,497 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fair value due to:</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6"/>
              </w:rPr>
              <w:t>Additions</w:t>
            </w:r>
            <w:r>
              <w:rPr>
                <w:rFonts w:ascii="Times New Roman;serif" w:hAnsi="Times New Roman;serif"/>
                <w:b w:val="false"/>
                <w:color w:val="000000"/>
                <w:sz w:val="10"/>
              </w:rPr>
              <w:t>(A)</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60,713 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6"/>
              </w:rPr>
              <w:t>Realization of cash flows</w:t>
            </w:r>
            <w:r>
              <w:rPr>
                <w:rFonts w:ascii="Times New Roman;serif" w:hAnsi="Times New Roman;serif"/>
                <w:b w:val="false"/>
                <w:color w:val="000000"/>
                <w:sz w:val="10"/>
              </w:rPr>
              <w:t>(B)</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(28,207)</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valuation inputs and assumptions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(7,939)</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impact of change to fair value</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24,567 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December 31, 2025</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113,064 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both"/>
        <w:rPr/>
      </w:pPr>
      <w:r>
        <w:rPr>
          <w:rFonts w:ascii="Times New Roman;serif" w:hAnsi="Times New Roman;serif"/>
          <w:b w:val="false"/>
          <w:color w:val="000000"/>
          <w:sz w:val="10"/>
        </w:rPr>
        <w:t>(A)</w:t>
      </w:r>
      <w:r>
        <w:rPr>
          <w:color w:val="000000"/>
        </w:rPr>
        <w:t>    </w:t>
      </w:r>
      <w:r>
        <w:rPr>
          <w:rFonts w:ascii="Times New Roman;serif" w:hAnsi="Times New Roman;serif"/>
          <w:b w:val="false"/>
          <w:color w:val="000000"/>
          <w:sz w:val="16"/>
        </w:rPr>
        <w:t>Represents the fair value of servicing rights retained upon sale of originated and purchased loans.</w:t>
      </w:r>
    </w:p>
    <w:p>
      <w:pPr>
        <w:pStyle w:val="TextBody"/>
        <w:bidi w:val="0"/>
        <w:spacing w:lineRule="auto" w:line="288" w:before="0" w:after="180"/>
        <w:ind w:left="0" w:right="0" w:hanging="180"/>
        <w:jc w:val="both"/>
        <w:rPr/>
      </w:pPr>
      <w:r>
        <w:rPr>
          <w:rFonts w:ascii="Times New Roman;serif" w:hAnsi="Times New Roman;serif"/>
          <w:b w:val="false"/>
          <w:color w:val="000000"/>
          <w:sz w:val="10"/>
        </w:rPr>
        <w:t>(B)</w:t>
      </w:r>
      <w:r>
        <w:rPr>
          <w:color w:val="000000"/>
        </w:rPr>
        <w:t>    </w:t>
      </w:r>
      <w:r>
        <w:rPr>
          <w:rFonts w:ascii="Times New Roman;serif" w:hAnsi="Times New Roman;serif"/>
          <w:b w:val="false"/>
          <w:color w:val="000000"/>
          <w:sz w:val="16"/>
        </w:rPr>
        <w:t>Based on the paydown of the underlying loans.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293370"/>
                <wp:effectExtent l="0" t="0" r="0" b="0"/>
                <wp:wrapNone/>
                <wp:docPr id="155" name="Frame153"/>
                <a:graphic xmlns:a="http://schemas.openxmlformats.org/drawingml/2006/main">
                  <a:graphicData uri="http://schemas.microsoft.com/office/word/2010/wordprocessingShape">
                    <wps:wsp>
                      <wps:cNvSpPr txBox="1"/>
                      <wps:spPr>
                        <a:xfrm>
                          <a:off x="0" y="0"/>
                          <a:ext cx="6480175" cy="293370"/>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153</w:t>
                            </w:r>
                          </w:p>
                          <w:p>
                            <w:pPr>
                              <w:pStyle w:val="TextBody"/>
                              <w:bidi w:val="0"/>
                              <w:spacing w:lineRule="auto" w:line="288" w:before="0" w:after="180"/>
                              <w:jc w:val="left"/>
                              <w:rPr/>
                            </w:pPr>
                            <w:hyperlink w:anchor="i8e13d1b6f3764394b0e424082d2ac79f_151">
                              <w:r>
                                <w:rPr>
                                  <w:rStyle w:val="InternetLink"/>
                                  <w:rFonts w:ascii="Times New Roman;serif" w:hAnsi="Times New Roman;serif"/>
                                  <w:b w:val="false"/>
                                  <w:color w:val="0000FF"/>
                                  <w:sz w:val="20"/>
                                  <w:u w:val="single"/>
                                </w:rPr>
                                <w:t>Table of Contents</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153</w:t>
                      </w:r>
                    </w:p>
                    <w:p>
                      <w:pPr>
                        <w:pStyle w:val="TextBody"/>
                        <w:bidi w:val="0"/>
                        <w:spacing w:lineRule="auto" w:line="288" w:before="0" w:after="180"/>
                        <w:jc w:val="left"/>
                        <w:rPr/>
                      </w:pPr>
                      <w:hyperlink w:anchor="i8e13d1b6f3764394b0e424082d2ac79f_151">
                        <w:r>
                          <w:rPr>
                            <w:rStyle w:val="InternetLink"/>
                            <w:rFonts w:ascii="Times New Roman;serif" w:hAnsi="Times New Roman;serif"/>
                            <w:b w:val="false"/>
                            <w:color w:val="0000FF"/>
                            <w:sz w:val="20"/>
                            <w:u w:val="single"/>
                          </w:rPr>
                          <w:t>Table of Contents</w:t>
                        </w:r>
                      </w:hyperlink>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FIGURE TECHNOLOGY SOLUTIONS,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tables in thousands, except share and per share data, units, ratios or as otherwise noted)</w:t>
      </w:r>
    </w:p>
    <w:p>
      <w:pPr>
        <w:pStyle w:val="TextBody"/>
        <w:bidi w:val="0"/>
        <w:spacing w:before="0" w:after="180"/>
        <w:jc w:val="center"/>
        <w:rPr/>
      </w:pPr>
      <w:r>
        <w:rPr/>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geographic concentration of the loans underlying the servicing rights at December 31, 2025 and 2024:</w:t>
      </w:r>
    </w:p>
    <w:tbl>
      <w:tblPr>
        <w:tblW w:w="8000" w:type="dxa"/>
        <w:jc w:val="left"/>
        <w:tblInd w:w="0" w:type="dxa"/>
        <w:tblLayout w:type="fixed"/>
        <w:tblCellMar>
          <w:top w:w="28" w:type="dxa"/>
          <w:left w:w="28" w:type="dxa"/>
          <w:bottom w:w="28" w:type="dxa"/>
          <w:right w:w="28" w:type="dxa"/>
        </w:tblCellMar>
      </w:tblPr>
      <w:tblGrid>
        <w:gridCol w:w="415"/>
        <w:gridCol w:w="366"/>
        <w:gridCol w:w="373"/>
        <w:gridCol w:w="274"/>
        <w:gridCol w:w="1344"/>
        <w:gridCol w:w="152"/>
        <w:gridCol w:w="109"/>
        <w:gridCol w:w="109"/>
        <w:gridCol w:w="109"/>
        <w:gridCol w:w="278"/>
        <w:gridCol w:w="278"/>
        <w:gridCol w:w="475"/>
        <w:gridCol w:w="109"/>
        <w:gridCol w:w="109"/>
        <w:gridCol w:w="109"/>
        <w:gridCol w:w="295"/>
        <w:gridCol w:w="1311"/>
        <w:gridCol w:w="164"/>
        <w:gridCol w:w="109"/>
        <w:gridCol w:w="109"/>
        <w:gridCol w:w="109"/>
        <w:gridCol w:w="278"/>
        <w:gridCol w:w="278"/>
        <w:gridCol w:w="475"/>
        <w:gridCol w:w="109"/>
        <w:gridCol w:w="154"/>
      </w:tblGrid>
      <w:tr>
        <w:trPr/>
        <w:tc>
          <w:tcPr>
            <w:tcW w:w="415"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State</w:t>
            </w:r>
          </w:p>
        </w:tc>
        <w:tc>
          <w:tcPr>
            <w:tcW w:w="17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Amount Outstanding</w:t>
            </w:r>
            <w:r>
              <w:rPr>
                <w:rFonts w:ascii="Times New Roman;serif" w:hAnsi="Times New Roman;serif"/>
                <w:b/>
                <w:color w:val="000000"/>
                <w:sz w:val="10"/>
              </w:rPr>
              <w: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Amount Outstanding</w:t>
            </w:r>
            <w:r>
              <w:rPr>
                <w:rFonts w:ascii="Times New Roman;serif" w:hAnsi="Times New Roman;serif"/>
                <w:b/>
                <w:color w:val="000000"/>
                <w:sz w:val="10"/>
              </w:rPr>
              <w: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Total</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1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California</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3,239,619 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25.1 </w:t>
            </w:r>
          </w:p>
        </w:tc>
        <w:tc>
          <w:tcPr>
            <w:tcW w:w="4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2,146,371 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26.5 </w:t>
            </w:r>
          </w:p>
        </w:tc>
        <w:tc>
          <w:tcPr>
            <w:tcW w:w="4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Florida</w:t>
            </w:r>
          </w:p>
        </w:tc>
        <w:tc>
          <w:tcPr>
            <w:tcW w:w="1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1,553,217 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990,404 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Arizona</w:t>
            </w:r>
          </w:p>
        </w:tc>
        <w:tc>
          <w:tcPr>
            <w:tcW w:w="16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634,623 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4.9 </w:t>
            </w:r>
          </w:p>
        </w:tc>
        <w:tc>
          <w:tcPr>
            <w:tcW w:w="4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429,469 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5.3 </w:t>
            </w:r>
          </w:p>
        </w:tc>
        <w:tc>
          <w:tcPr>
            <w:tcW w:w="4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Georgia</w:t>
            </w:r>
          </w:p>
        </w:tc>
        <w:tc>
          <w:tcPr>
            <w:tcW w:w="1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579,494 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407,651 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Washington</w:t>
            </w:r>
          </w:p>
        </w:tc>
        <w:tc>
          <w:tcPr>
            <w:tcW w:w="16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490,630 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3.8 </w:t>
            </w:r>
          </w:p>
        </w:tc>
        <w:tc>
          <w:tcPr>
            <w:tcW w:w="4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362,370 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4.5 </w:t>
            </w:r>
          </w:p>
        </w:tc>
        <w:tc>
          <w:tcPr>
            <w:tcW w:w="4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New Jersey</w:t>
            </w:r>
          </w:p>
        </w:tc>
        <w:tc>
          <w:tcPr>
            <w:tcW w:w="1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455,704 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320,124 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Ohio</w:t>
            </w:r>
          </w:p>
        </w:tc>
        <w:tc>
          <w:tcPr>
            <w:tcW w:w="16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414,065 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3.2 </w:t>
            </w:r>
          </w:p>
        </w:tc>
        <w:tc>
          <w:tcPr>
            <w:tcW w:w="4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227,069 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2.8 </w:t>
            </w:r>
          </w:p>
        </w:tc>
        <w:tc>
          <w:tcPr>
            <w:tcW w:w="4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Virginia</w:t>
            </w:r>
          </w:p>
        </w:tc>
        <w:tc>
          <w:tcPr>
            <w:tcW w:w="1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413,862 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239,559 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North Carolina</w:t>
            </w:r>
          </w:p>
        </w:tc>
        <w:tc>
          <w:tcPr>
            <w:tcW w:w="16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358,185 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2.8 </w:t>
            </w:r>
          </w:p>
        </w:tc>
        <w:tc>
          <w:tcPr>
            <w:tcW w:w="4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261,013 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3.2 </w:t>
            </w:r>
          </w:p>
        </w:tc>
        <w:tc>
          <w:tcPr>
            <w:tcW w:w="4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Colorado</w:t>
            </w:r>
          </w:p>
        </w:tc>
        <w:tc>
          <w:tcPr>
            <w:tcW w:w="1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338,515 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241,844 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6"/>
              </w:rPr>
              <w:t xml:space="preserve">Other </w:t>
            </w:r>
            <w:r>
              <w:rPr>
                <w:rFonts w:ascii="Times New Roman;serif" w:hAnsi="Times New Roman;serif"/>
                <w:b w:val="false"/>
                <w:color w:val="000000"/>
                <w:sz w:val="10"/>
              </w:rPr>
              <w:t>(B)</w:t>
            </w:r>
          </w:p>
        </w:tc>
        <w:tc>
          <w:tcPr>
            <w:tcW w:w="16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4,452,569 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34.4 </w:t>
            </w:r>
          </w:p>
        </w:tc>
        <w:tc>
          <w:tcPr>
            <w:tcW w:w="4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2,471,009 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30.5 </w:t>
            </w:r>
          </w:p>
        </w:tc>
        <w:tc>
          <w:tcPr>
            <w:tcW w:w="4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2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3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12,930,483 </w:t>
            </w:r>
          </w:p>
        </w:tc>
        <w:tc>
          <w:tcPr>
            <w:tcW w:w="1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100.0 </w:t>
            </w:r>
          </w:p>
        </w:tc>
        <w:tc>
          <w:tcPr>
            <w:tcW w:w="4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3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8,096,883 </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100.0 </w:t>
            </w:r>
          </w:p>
        </w:tc>
        <w:tc>
          <w:tcPr>
            <w:tcW w:w="4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both"/>
        <w:rPr/>
      </w:pPr>
      <w:r>
        <w:rPr>
          <w:rFonts w:ascii="Times New Roman;serif" w:hAnsi="Times New Roman;serif"/>
          <w:b w:val="false"/>
          <w:color w:val="000000"/>
          <w:sz w:val="10"/>
        </w:rPr>
        <w:t>(A)    </w:t>
      </w:r>
      <w:r>
        <w:rPr>
          <w:rFonts w:ascii="Times New Roman;serif" w:hAnsi="Times New Roman;serif"/>
          <w:b w:val="false"/>
          <w:color w:val="000000"/>
          <w:sz w:val="16"/>
        </w:rPr>
        <w:t>Represents the principal balance of the loans that the Company services.</w:t>
      </w:r>
    </w:p>
    <w:p>
      <w:pPr>
        <w:pStyle w:val="TextBody"/>
        <w:bidi w:val="0"/>
        <w:spacing w:lineRule="auto" w:line="288" w:before="0" w:after="180"/>
        <w:ind w:left="0" w:right="0" w:hanging="180"/>
        <w:jc w:val="both"/>
        <w:rPr/>
      </w:pPr>
      <w:r>
        <w:rPr>
          <w:rFonts w:ascii="Times New Roman;serif" w:hAnsi="Times New Roman;serif"/>
          <w:b w:val="false"/>
          <w:color w:val="000000"/>
          <w:sz w:val="10"/>
        </w:rPr>
        <w:t>(B)    </w:t>
      </w:r>
      <w:r>
        <w:rPr>
          <w:rFonts w:ascii="Times New Roman;serif" w:hAnsi="Times New Roman;serif"/>
          <w:b w:val="false"/>
          <w:color w:val="000000"/>
          <w:sz w:val="16"/>
        </w:rPr>
        <w:t xml:space="preserve">The Company did not service loans in any state or U.S. territory contained in “Other” aggregating to more than 5% of the total amount outstanding of the loans that the Company services.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part of its servicing operations, the Company held principal, interest, and other borrower payments of $364.9 million and $198.8 million at December 31, 2025 and 2024, respectively, due to third-party loan buyers recorded as “Payables to third-party loan owners” in the Consolidated Balance Sheets. The Company makes payments on these arrangements by remitting amounts due from proceeds received from borrower payments on the underlying loans. Additionally, the Company has outstanding liability obligations to repurchase loans that are in early payment default status. At December 31, 2025 and 2024, the total obligation to repurchase loans associated with contractual arrangements was $17.7 million and $13.8 million, respectively, recorded in “Payables to third-party loan owners” in the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NOTE 5 – LOANS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loans held by the Company at December 31, 2025 and 2024:</w:t>
      </w:r>
    </w:p>
    <w:tbl>
      <w:tblPr>
        <w:tblW w:w="7653" w:type="dxa"/>
        <w:jc w:val="left"/>
        <w:tblInd w:w="0" w:type="dxa"/>
        <w:tblLayout w:type="fixed"/>
        <w:tblCellMar>
          <w:top w:w="28" w:type="dxa"/>
          <w:left w:w="28" w:type="dxa"/>
          <w:bottom w:w="28" w:type="dxa"/>
          <w:right w:w="28" w:type="dxa"/>
        </w:tblCellMar>
      </w:tblPr>
      <w:tblGrid>
        <w:gridCol w:w="647"/>
        <w:gridCol w:w="567"/>
        <w:gridCol w:w="571"/>
        <w:gridCol w:w="196"/>
        <w:gridCol w:w="736"/>
        <w:gridCol w:w="109"/>
        <w:gridCol w:w="109"/>
        <w:gridCol w:w="109"/>
        <w:gridCol w:w="109"/>
        <w:gridCol w:w="260"/>
        <w:gridCol w:w="976"/>
        <w:gridCol w:w="144"/>
        <w:gridCol w:w="109"/>
        <w:gridCol w:w="109"/>
        <w:gridCol w:w="109"/>
        <w:gridCol w:w="196"/>
        <w:gridCol w:w="736"/>
        <w:gridCol w:w="109"/>
        <w:gridCol w:w="109"/>
        <w:gridCol w:w="109"/>
        <w:gridCol w:w="109"/>
        <w:gridCol w:w="257"/>
        <w:gridCol w:w="966"/>
        <w:gridCol w:w="202"/>
      </w:tblGrid>
      <w:tr>
        <w:trPr/>
        <w:tc>
          <w:tcPr>
            <w:tcW w:w="647"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UPB</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Carrying Value</w:t>
            </w:r>
            <w:r>
              <w:rPr>
                <w:rFonts w:ascii="Times New Roman;serif" w:hAnsi="Times New Roman;serif"/>
                <w:b/>
                <w:color w:val="000000"/>
                <w:sz w:val="10"/>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UPB</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ind w:left="0" w:right="0" w:hanging="180"/>
              <w:jc w:val="center"/>
              <w:rPr/>
            </w:pPr>
            <w:r>
              <w:rPr>
                <w:rFonts w:ascii="Times New Roman;serif" w:hAnsi="Times New Roman;serif"/>
                <w:b/>
                <w:color w:val="000000"/>
                <w:sz w:val="16"/>
              </w:rPr>
              <w:t>Carrying Value</w:t>
            </w:r>
            <w:r>
              <w:rPr>
                <w:rFonts w:ascii="Times New Roman;serif" w:hAnsi="Times New Roman;serif"/>
                <w:b/>
                <w:color w:val="000000"/>
                <w:sz w:val="10"/>
              </w:rPr>
              <w:t>(A)</w:t>
            </w:r>
          </w:p>
        </w:tc>
      </w:tr>
      <w:tr>
        <w:trPr/>
        <w:tc>
          <w:tcPr>
            <w:tcW w:w="1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Loans held for sale:</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6"/>
              </w:rPr>
              <w:t>HELOC loans</w:t>
            </w:r>
            <w:r>
              <w:rPr>
                <w:rFonts w:ascii="Times New Roman;serif" w:hAnsi="Times New Roman;serif"/>
                <w:b w:val="false"/>
                <w:color w:val="000000"/>
                <w:sz w:val="10"/>
              </w:rPr>
              <w:t>(B)</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312,401 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320,566 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359,155 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366,154 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6"/>
              </w:rPr>
              <w:t>Personal loans</w:t>
            </w:r>
            <w:r>
              <w:rPr>
                <w:rFonts w:ascii="Times New Roman;serif" w:hAnsi="Times New Roman;serif"/>
                <w:b w:val="false"/>
                <w:color w:val="000000"/>
                <w:sz w:val="10"/>
              </w:rPr>
              <w:t>(C)</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79,113 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24,975 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24,975 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6"/>
              </w:rPr>
              <w:t>Other</w:t>
            </w:r>
            <w:r>
              <w:rPr>
                <w:rFonts w:ascii="Times New Roman;serif" w:hAnsi="Times New Roman;serif"/>
                <w:b w:val="false"/>
                <w:color w:val="000000"/>
                <w:sz w:val="10"/>
              </w:rPr>
              <w:t>(D)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4,658 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4,793 </w:t>
            </w:r>
          </w:p>
        </w:tc>
        <w:tc>
          <w:tcPr>
            <w:tcW w:w="20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loans held for sale</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396,475 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404,337 </w:t>
            </w:r>
          </w:p>
        </w:tc>
        <w:tc>
          <w:tcPr>
            <w:tcW w:w="1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389,107 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395,922 </w:t>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r>
      <w:tr>
        <w:trPr/>
        <w:tc>
          <w:tcPr>
            <w:tcW w:w="178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r>
      <w:tr>
        <w:trPr/>
        <w:tc>
          <w:tcPr>
            <w:tcW w:w="178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r>
      <w:tr>
        <w:trPr/>
        <w:tc>
          <w:tcPr>
            <w:tcW w:w="178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both"/>
        <w:rPr/>
      </w:pPr>
      <w:r>
        <w:rPr>
          <w:rFonts w:ascii="Times New Roman;serif" w:hAnsi="Times New Roman;serif"/>
          <w:b w:val="false"/>
          <w:color w:val="000000"/>
          <w:sz w:val="10"/>
        </w:rPr>
        <w:t>(A)    </w:t>
      </w:r>
      <w:r>
        <w:rPr>
          <w:rFonts w:ascii="Times New Roman;serif" w:hAnsi="Times New Roman;serif"/>
          <w:b w:val="false"/>
          <w:color w:val="000000"/>
          <w:sz w:val="16"/>
        </w:rPr>
        <w:t>The Company records loans at fair value. See Note 12 for additional information regarding the valuation of these assets.</w:t>
      </w:r>
    </w:p>
    <w:p>
      <w:pPr>
        <w:pStyle w:val="TextBody"/>
        <w:bidi w:val="0"/>
        <w:spacing w:lineRule="auto" w:line="288" w:before="0" w:after="0"/>
        <w:ind w:left="0" w:right="0" w:hanging="180"/>
        <w:jc w:val="both"/>
        <w:rPr/>
      </w:pPr>
      <w:r>
        <w:rPr>
          <w:rFonts w:ascii="Times New Roman;serif" w:hAnsi="Times New Roman;serif"/>
          <w:b w:val="false"/>
          <w:color w:val="000000"/>
          <w:sz w:val="10"/>
        </w:rPr>
        <w:t>(B)    </w:t>
      </w:r>
      <w:r>
        <w:rPr>
          <w:rFonts w:ascii="Times New Roman;serif" w:hAnsi="Times New Roman;serif"/>
          <w:b w:val="false"/>
          <w:color w:val="000000"/>
          <w:sz w:val="16"/>
        </w:rPr>
        <w:t>The total carrying value of HELOC loans includes $21.7 million and $313.4 million of collateralized HELOCs under repurchase agreements at December 31, 2025 and 2024, respectively, which are not for sale while collateralized. See Notes 6 and 12 for additional information regarding funding debt outstanding and valuation of the Company’s loans at fair value, respectively.</w:t>
      </w:r>
    </w:p>
    <w:p>
      <w:pPr>
        <w:pStyle w:val="TextBody"/>
        <w:bidi w:val="0"/>
        <w:spacing w:lineRule="auto" w:line="288" w:before="0" w:after="0"/>
        <w:ind w:left="0" w:right="0" w:hanging="180"/>
        <w:jc w:val="both"/>
        <w:rPr/>
      </w:pPr>
      <w:r>
        <w:rPr>
          <w:rFonts w:ascii="Times New Roman;serif" w:hAnsi="Times New Roman;serif"/>
          <w:b w:val="false"/>
          <w:color w:val="000000"/>
          <w:sz w:val="10"/>
        </w:rPr>
        <w:t>(C)    </w:t>
      </w:r>
      <w:r>
        <w:rPr>
          <w:rFonts w:ascii="Times New Roman;serif" w:hAnsi="Times New Roman;serif"/>
          <w:b w:val="false"/>
          <w:color w:val="000000"/>
          <w:sz w:val="16"/>
        </w:rPr>
        <w:t>Loans collateralized by digital assets.</w:t>
      </w:r>
    </w:p>
    <w:p>
      <w:pPr>
        <w:pStyle w:val="TextBody"/>
        <w:bidi w:val="0"/>
        <w:spacing w:lineRule="auto" w:line="288" w:before="0" w:after="180"/>
        <w:ind w:left="0" w:right="0" w:hanging="180"/>
        <w:jc w:val="both"/>
        <w:rPr/>
      </w:pPr>
      <w:r>
        <w:rPr>
          <w:rFonts w:ascii="Times New Roman;serif" w:hAnsi="Times New Roman;serif"/>
          <w:b w:val="false"/>
          <w:color w:val="000000"/>
          <w:sz w:val="10"/>
        </w:rPr>
        <w:t>(D)    </w:t>
      </w:r>
      <w:r>
        <w:rPr>
          <w:rFonts w:ascii="Times New Roman;serif" w:hAnsi="Times New Roman;serif"/>
          <w:b w:val="false"/>
          <w:color w:val="000000"/>
          <w:sz w:val="16"/>
        </w:rPr>
        <w:t>Primarily contains legacy mortgages and other unsecured loans.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Loans are generally placed on non-accrual status when principal or interest is 90 days or more past due. The Company does not consider the average carrying values and interest income recognized (including interest income recognized using a cash-basis method) material for non-accrual loans. The Company placed loans held for sale with an aggregate UPB of $2.4 million and $1.2 million and fair value of $1.6 million and $0.8 million on non-accrual status at December 31, 2025 and 2024, respectively.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did not hold any loans as held for investment at December 31, 2025 or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293370"/>
                <wp:effectExtent l="0" t="0" r="0" b="0"/>
                <wp:wrapNone/>
                <wp:docPr id="156" name="Frame154"/>
                <a:graphic xmlns:a="http://schemas.openxmlformats.org/drawingml/2006/main">
                  <a:graphicData uri="http://schemas.microsoft.com/office/word/2010/wordprocessingShape">
                    <wps:wsp>
                      <wps:cNvSpPr txBox="1"/>
                      <wps:spPr>
                        <a:xfrm>
                          <a:off x="0" y="0"/>
                          <a:ext cx="6480175" cy="293370"/>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154</w:t>
                            </w:r>
                          </w:p>
                          <w:p>
                            <w:pPr>
                              <w:pStyle w:val="TextBody"/>
                              <w:bidi w:val="0"/>
                              <w:spacing w:lineRule="auto" w:line="288" w:before="0" w:after="180"/>
                              <w:jc w:val="left"/>
                              <w:rPr/>
                            </w:pPr>
                            <w:hyperlink w:anchor="i8e13d1b6f3764394b0e424082d2ac79f_151">
                              <w:r>
                                <w:rPr>
                                  <w:rStyle w:val="InternetLink"/>
                                  <w:rFonts w:ascii="Times New Roman;serif" w:hAnsi="Times New Roman;serif"/>
                                  <w:b w:val="false"/>
                                  <w:color w:val="0000FF"/>
                                  <w:sz w:val="20"/>
                                  <w:u w:val="single"/>
                                </w:rPr>
                                <w:t>Table of Contents</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154</w:t>
                      </w:r>
                    </w:p>
                    <w:p>
                      <w:pPr>
                        <w:pStyle w:val="TextBody"/>
                        <w:bidi w:val="0"/>
                        <w:spacing w:lineRule="auto" w:line="288" w:before="0" w:after="180"/>
                        <w:jc w:val="left"/>
                        <w:rPr/>
                      </w:pPr>
                      <w:hyperlink w:anchor="i8e13d1b6f3764394b0e424082d2ac79f_151">
                        <w:r>
                          <w:rPr>
                            <w:rStyle w:val="InternetLink"/>
                            <w:rFonts w:ascii="Times New Roman;serif" w:hAnsi="Times New Roman;serif"/>
                            <w:b w:val="false"/>
                            <w:color w:val="0000FF"/>
                            <w:sz w:val="20"/>
                            <w:u w:val="single"/>
                          </w:rPr>
                          <w:t>Table of Contents</w:t>
                        </w:r>
                      </w:hyperlink>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FIGURE TECHNOLOGY SOLUTIONS,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tables in thousands, except share and per share data, units, ratios or as otherwise noted)</w:t>
      </w:r>
    </w:p>
    <w:p>
      <w:pPr>
        <w:pStyle w:val="TextBody"/>
        <w:bidi w:val="0"/>
        <w:spacing w:before="0" w:after="180"/>
        <w:jc w:val="center"/>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past due status and difference between the aggregate UPB and the aggregate carrying value of loans held by the Company at December 31, 2025 and 2024.</w:t>
      </w:r>
    </w:p>
    <w:tbl>
      <w:tblPr>
        <w:tblW w:w="10205" w:type="dxa"/>
        <w:jc w:val="left"/>
        <w:tblInd w:w="0" w:type="dxa"/>
        <w:tblLayout w:type="fixed"/>
        <w:tblCellMar>
          <w:top w:w="28" w:type="dxa"/>
          <w:left w:w="28" w:type="dxa"/>
          <w:bottom w:w="28" w:type="dxa"/>
          <w:right w:w="28" w:type="dxa"/>
        </w:tblCellMar>
      </w:tblPr>
      <w:tblGrid>
        <w:gridCol w:w="450"/>
        <w:gridCol w:w="395"/>
        <w:gridCol w:w="398"/>
        <w:gridCol w:w="196"/>
        <w:gridCol w:w="736"/>
        <w:gridCol w:w="109"/>
        <w:gridCol w:w="109"/>
        <w:gridCol w:w="109"/>
        <w:gridCol w:w="109"/>
        <w:gridCol w:w="215"/>
        <w:gridCol w:w="809"/>
        <w:gridCol w:w="119"/>
        <w:gridCol w:w="109"/>
        <w:gridCol w:w="109"/>
        <w:gridCol w:w="109"/>
        <w:gridCol w:w="331"/>
        <w:gridCol w:w="939"/>
        <w:gridCol w:w="184"/>
        <w:gridCol w:w="109"/>
        <w:gridCol w:w="109"/>
        <w:gridCol w:w="109"/>
        <w:gridCol w:w="196"/>
        <w:gridCol w:w="736"/>
        <w:gridCol w:w="109"/>
        <w:gridCol w:w="109"/>
        <w:gridCol w:w="109"/>
        <w:gridCol w:w="109"/>
        <w:gridCol w:w="215"/>
        <w:gridCol w:w="809"/>
        <w:gridCol w:w="119"/>
        <w:gridCol w:w="109"/>
        <w:gridCol w:w="109"/>
        <w:gridCol w:w="109"/>
        <w:gridCol w:w="324"/>
        <w:gridCol w:w="920"/>
        <w:gridCol w:w="261"/>
      </w:tblGrid>
      <w:tr>
        <w:trPr/>
        <w:tc>
          <w:tcPr>
            <w:tcW w:w="45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r>
      <w:tr>
        <w:trPr/>
        <w:tc>
          <w:tcPr>
            <w:tcW w:w="12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12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Payment Delinquency</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UPB</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Carrying Value</w:t>
            </w:r>
            <w:r>
              <w:rPr>
                <w:rFonts w:ascii="Times New Roman;serif" w:hAnsi="Times New Roman;serif"/>
                <w:b/>
                <w:color w:val="000000"/>
                <w:sz w:val="10"/>
              </w:rPr>
              <w: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Carrying Value</w:t>
            </w:r>
            <w:r>
              <w:rPr>
                <w:rFonts w:ascii="Times New Roman;serif" w:hAnsi="Times New Roman;serif"/>
                <w:b/>
                <w:color w:val="000000"/>
                <w:sz w:val="10"/>
              </w:rPr>
              <w:t>(A)</w:t>
            </w:r>
            <w:r>
              <w:rPr>
                <w:color w:val="000000"/>
              </w:rPr>
              <w:t xml:space="preserve"> </w:t>
            </w:r>
            <w:r>
              <w:rPr>
                <w:rFonts w:ascii="Times New Roman;serif" w:hAnsi="Times New Roman;serif"/>
                <w:b/>
                <w:color w:val="000000"/>
                <w:sz w:val="16"/>
              </w:rPr>
              <w:t>Over (Under) UPB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UPB</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Carrying Value</w:t>
            </w:r>
            <w:r>
              <w:rPr>
                <w:rFonts w:ascii="Times New Roman;serif" w:hAnsi="Times New Roman;serif"/>
                <w:b/>
                <w:color w:val="000000"/>
                <w:sz w:val="10"/>
              </w:rPr>
              <w: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ind w:left="0" w:right="0" w:hanging="180"/>
              <w:jc w:val="center"/>
              <w:rPr/>
            </w:pPr>
            <w:r>
              <w:rPr>
                <w:rFonts w:ascii="Times New Roman;serif" w:hAnsi="Times New Roman;serif"/>
                <w:b/>
                <w:color w:val="000000"/>
                <w:sz w:val="16"/>
              </w:rPr>
              <w:t>Carrying Value</w:t>
            </w:r>
            <w:r>
              <w:rPr>
                <w:rFonts w:ascii="Times New Roman;serif" w:hAnsi="Times New Roman;serif"/>
                <w:b/>
                <w:color w:val="000000"/>
                <w:sz w:val="10"/>
              </w:rPr>
              <w:t>(A)</w:t>
            </w:r>
            <w:r>
              <w:rPr>
                <w:color w:val="000000"/>
              </w:rPr>
              <w:t xml:space="preserve"> </w:t>
            </w:r>
            <w:r>
              <w:rPr>
                <w:rFonts w:ascii="Times New Roman;serif" w:hAnsi="Times New Roman;serif"/>
                <w:b/>
                <w:color w:val="000000"/>
                <w:sz w:val="16"/>
              </w:rPr>
              <w:t>Over (Under) UPB</w:t>
            </w:r>
          </w:p>
        </w:tc>
      </w:tr>
      <w:tr>
        <w:trPr/>
        <w:tc>
          <w:tcPr>
            <w:tcW w:w="124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Loans held for sale:</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374,842 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383,602 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8,760 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373,876 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383,551 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9,675 </w:t>
            </w:r>
          </w:p>
        </w:tc>
        <w:tc>
          <w:tcPr>
            <w:tcW w:w="26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30 to 59 days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3,170 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(365)</w:t>
            </w:r>
          </w:p>
        </w:tc>
        <w:tc>
          <w:tcPr>
            <w:tcW w:w="26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60 to 89 days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4,030 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2,125 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(315)</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90 days or more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13,717 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(670)</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6,411 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(2,137)</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Forbearance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loans held for sale</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396,475 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404,337 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7,862 </w:t>
            </w:r>
          </w:p>
        </w:tc>
        <w:tc>
          <w:tcPr>
            <w:tcW w:w="1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389,107 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395,922 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6,815 </w:t>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24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r>
      <w:tr>
        <w:trPr/>
        <w:tc>
          <w:tcPr>
            <w:tcW w:w="124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r>
      <w:tr>
        <w:trPr/>
        <w:tc>
          <w:tcPr>
            <w:tcW w:w="124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r>
      <w:tr>
        <w:trPr/>
        <w:tc>
          <w:tcPr>
            <w:tcW w:w="124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r>
      <w:tr>
        <w:trPr/>
        <w:tc>
          <w:tcPr>
            <w:tcW w:w="124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r>
      <w:tr>
        <w:trPr/>
        <w:tc>
          <w:tcPr>
            <w:tcW w:w="124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r>
      <w:tr>
        <w:trPr/>
        <w:tc>
          <w:tcPr>
            <w:tcW w:w="124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r>
      <w:tr>
        <w:trPr/>
        <w:tc>
          <w:tcPr>
            <w:tcW w:w="124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180"/>
        <w:jc w:val="both"/>
        <w:rPr/>
      </w:pPr>
      <w:r>
        <w:rPr>
          <w:rFonts w:ascii="Times New Roman;serif" w:hAnsi="Times New Roman;serif"/>
          <w:b w:val="false"/>
          <w:color w:val="000000"/>
          <w:sz w:val="10"/>
        </w:rPr>
        <w:t>(A)    </w:t>
      </w:r>
      <w:r>
        <w:rPr>
          <w:rFonts w:ascii="Times New Roman;serif" w:hAnsi="Times New Roman;serif"/>
          <w:b w:val="false"/>
          <w:color w:val="000000"/>
          <w:sz w:val="16"/>
        </w:rPr>
        <w:t>The Company records loans at fair value. See Note 12 for additional information regarding the valuation of these assets.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loan activity for the years ended December 31, 2025 and 2024:</w:t>
      </w:r>
    </w:p>
    <w:tbl>
      <w:tblPr>
        <w:tblW w:w="7691" w:type="dxa"/>
        <w:jc w:val="left"/>
        <w:tblInd w:w="0" w:type="dxa"/>
        <w:tblLayout w:type="fixed"/>
        <w:tblCellMar>
          <w:top w:w="28" w:type="dxa"/>
          <w:left w:w="28" w:type="dxa"/>
          <w:bottom w:w="28" w:type="dxa"/>
          <w:right w:w="28" w:type="dxa"/>
        </w:tblCellMar>
      </w:tblPr>
      <w:tblGrid>
        <w:gridCol w:w="1352"/>
        <w:gridCol w:w="1189"/>
        <w:gridCol w:w="1194"/>
        <w:gridCol w:w="291"/>
        <w:gridCol w:w="1093"/>
        <w:gridCol w:w="161"/>
        <w:gridCol w:w="109"/>
        <w:gridCol w:w="109"/>
        <w:gridCol w:w="109"/>
        <w:gridCol w:w="410"/>
        <w:gridCol w:w="1352"/>
        <w:gridCol w:w="322"/>
      </w:tblGrid>
      <w:tr>
        <w:trPr/>
        <w:tc>
          <w:tcPr>
            <w:tcW w:w="1352"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Loans Held for Sale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Loans Held for Investment</w:t>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December 31, 2023</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255,516 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3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61,337 </w:t>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84"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Transfers from Held for Investment to Held for Sale</w:t>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58,835 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(58,835)</w:t>
            </w:r>
          </w:p>
        </w:tc>
        <w:tc>
          <w:tcPr>
            <w:tcW w:w="32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w:t>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1,972,209 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2,492 </w:t>
            </w:r>
          </w:p>
        </w:tc>
        <w:tc>
          <w:tcPr>
            <w:tcW w:w="32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Originations</w:t>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3,164,966 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Sales, net of repurchases</w:t>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(4,659,777)</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Principal payments</w:t>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(411,268)</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(11,642)</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6"/>
              </w:rPr>
              <w:t>Change in fair value</w:t>
            </w:r>
            <w:r>
              <w:rPr>
                <w:rFonts w:ascii="Times New Roman;serif" w:hAnsi="Times New Roman;serif"/>
                <w:b w:val="false"/>
                <w:color w:val="000000"/>
                <w:sz w:val="10"/>
              </w:rPr>
              <w:t>(A)</w:t>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4,778 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6,648 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84"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Loans not yet repurchased</w:t>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10,663 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December 31, 2024</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395,922 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3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84"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w:t>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3,269,400 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Originations</w:t>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3,706,733 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Sales, net of repurchases</w:t>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(6,515,155)</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Principal payments</w:t>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(460,323)</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6"/>
              </w:rPr>
              <w:t>Change in fair value</w:t>
            </w:r>
            <w:r>
              <w:rPr>
                <w:rFonts w:ascii="Times New Roman;serif" w:hAnsi="Times New Roman;serif"/>
                <w:b w:val="false"/>
                <w:color w:val="000000"/>
                <w:sz w:val="10"/>
              </w:rPr>
              <w:t>(A)</w:t>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3,808 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84"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Loans not yet repurchased</w:t>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3,952 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December 31, 2025</w:t>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404,337 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3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180"/>
        <w:jc w:val="both"/>
        <w:rPr/>
      </w:pPr>
      <w:r>
        <w:rPr>
          <w:rFonts w:ascii="Times New Roman;serif" w:hAnsi="Times New Roman;serif"/>
          <w:b w:val="false"/>
          <w:color w:val="000000"/>
          <w:sz w:val="10"/>
        </w:rPr>
        <w:t>(A)    </w:t>
      </w:r>
      <w:r>
        <w:rPr>
          <w:rFonts w:ascii="Times New Roman;serif" w:hAnsi="Times New Roman;serif"/>
          <w:b w:val="false"/>
          <w:color w:val="000000"/>
          <w:sz w:val="16"/>
        </w:rPr>
        <w:t>Change in fair value of loans are reflected in “Gain on sale of loans, net” in the Consolidated Statements of Operations.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top five loan originators for the years ended December 31, 2025 and 2024 originated $2.4 billion and $1.4 billion unpaid principal balance of loans, or 77.8% and 71.8%, of total unpaid principal balance of loans purchased by the Company, whose “Gain on sale of loans, net” revenue represent 9.0% and 11.5% of total revenue, respectively.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top five loan purchasers for the years ended December 31, 2025 and 2024 purchased $4.2 billion and $4.1 billion unpaid principal balance of loans, or 46.8% and 64.3%, of total unpaid principal balance of loans sold by the Company, excluding $748.5 million and $456.2 million unpaid principal balance securitized, whose “Gain on sale of loans, net” revenue represent 21.4% and 19.7% of total revenue, respectively.</w:t>
      </w:r>
    </w:p>
    <w:p>
      <w:pPr>
        <w:pStyle w:val="TextBody"/>
        <w:bidi w:val="0"/>
        <w:spacing w:before="0" w:after="0"/>
        <w:ind w:left="0" w:right="0" w:hanging="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293370"/>
                <wp:effectExtent l="0" t="0" r="0" b="0"/>
                <wp:wrapNone/>
                <wp:docPr id="157" name="Frame155"/>
                <a:graphic xmlns:a="http://schemas.openxmlformats.org/drawingml/2006/main">
                  <a:graphicData uri="http://schemas.microsoft.com/office/word/2010/wordprocessingShape">
                    <wps:wsp>
                      <wps:cNvSpPr txBox="1"/>
                      <wps:spPr>
                        <a:xfrm>
                          <a:off x="0" y="0"/>
                          <a:ext cx="6480175" cy="293370"/>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155</w:t>
                            </w:r>
                          </w:p>
                          <w:p>
                            <w:pPr>
                              <w:pStyle w:val="TextBody"/>
                              <w:bidi w:val="0"/>
                              <w:spacing w:lineRule="auto" w:line="288" w:before="0" w:after="180"/>
                              <w:jc w:val="left"/>
                              <w:rPr/>
                            </w:pPr>
                            <w:hyperlink w:anchor="i8e13d1b6f3764394b0e424082d2ac79f_151">
                              <w:r>
                                <w:rPr>
                                  <w:rStyle w:val="InternetLink"/>
                                  <w:rFonts w:ascii="Times New Roman;serif" w:hAnsi="Times New Roman;serif"/>
                                  <w:b w:val="false"/>
                                  <w:color w:val="0000FF"/>
                                  <w:sz w:val="20"/>
                                  <w:u w:val="single"/>
                                </w:rPr>
                                <w:t>Table of Contents</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155</w:t>
                      </w:r>
                    </w:p>
                    <w:p>
                      <w:pPr>
                        <w:pStyle w:val="TextBody"/>
                        <w:bidi w:val="0"/>
                        <w:spacing w:lineRule="auto" w:line="288" w:before="0" w:after="180"/>
                        <w:jc w:val="left"/>
                        <w:rPr/>
                      </w:pPr>
                      <w:hyperlink w:anchor="i8e13d1b6f3764394b0e424082d2ac79f_151">
                        <w:r>
                          <w:rPr>
                            <w:rStyle w:val="InternetLink"/>
                            <w:rFonts w:ascii="Times New Roman;serif" w:hAnsi="Times New Roman;serif"/>
                            <w:b w:val="false"/>
                            <w:color w:val="0000FF"/>
                            <w:sz w:val="20"/>
                            <w:u w:val="single"/>
                          </w:rPr>
                          <w:t>Table of Contents</w:t>
                        </w:r>
                      </w:hyperlink>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FIGURE TECHNOLOGY SOLUTIONS,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tables in thousands, except share and per share data, units, ratios or as otherwise noted)</w:t>
      </w:r>
    </w:p>
    <w:p>
      <w:pPr>
        <w:pStyle w:val="TextBody"/>
        <w:bidi w:val="0"/>
        <w:spacing w:before="0" w:after="180"/>
        <w:jc w:val="center"/>
        <w:rPr/>
      </w:pPr>
      <w:r>
        <w:rPr/>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NOTE 6 – DEBT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debt components:</w:t>
      </w:r>
    </w:p>
    <w:tbl>
      <w:tblPr>
        <w:tblW w:w="10205" w:type="dxa"/>
        <w:jc w:val="left"/>
        <w:tblInd w:w="0" w:type="dxa"/>
        <w:tblLayout w:type="fixed"/>
        <w:tblCellMar>
          <w:top w:w="28" w:type="dxa"/>
          <w:left w:w="28" w:type="dxa"/>
          <w:bottom w:w="28" w:type="dxa"/>
          <w:right w:w="28" w:type="dxa"/>
        </w:tblCellMar>
      </w:tblPr>
      <w:tblGrid>
        <w:gridCol w:w="820"/>
        <w:gridCol w:w="409"/>
        <w:gridCol w:w="413"/>
        <w:gridCol w:w="205"/>
        <w:gridCol w:w="773"/>
        <w:gridCol w:w="114"/>
        <w:gridCol w:w="109"/>
        <w:gridCol w:w="109"/>
        <w:gridCol w:w="109"/>
        <w:gridCol w:w="390"/>
        <w:gridCol w:w="345"/>
        <w:gridCol w:w="347"/>
        <w:gridCol w:w="109"/>
        <w:gridCol w:w="109"/>
        <w:gridCol w:w="109"/>
        <w:gridCol w:w="365"/>
        <w:gridCol w:w="354"/>
        <w:gridCol w:w="355"/>
        <w:gridCol w:w="109"/>
        <w:gridCol w:w="109"/>
        <w:gridCol w:w="109"/>
        <w:gridCol w:w="357"/>
        <w:gridCol w:w="292"/>
        <w:gridCol w:w="648"/>
        <w:gridCol w:w="109"/>
        <w:gridCol w:w="109"/>
        <w:gridCol w:w="109"/>
        <w:gridCol w:w="334"/>
        <w:gridCol w:w="656"/>
        <w:gridCol w:w="177"/>
        <w:gridCol w:w="109"/>
        <w:gridCol w:w="109"/>
        <w:gridCol w:w="109"/>
        <w:gridCol w:w="217"/>
        <w:gridCol w:w="817"/>
        <w:gridCol w:w="182"/>
      </w:tblGrid>
      <w:tr>
        <w:trPr/>
        <w:tc>
          <w:tcPr>
            <w:tcW w:w="820"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1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0"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1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Facility Inception Date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Final Stated Maturity</w:t>
            </w:r>
            <w:r>
              <w:rPr>
                <w:rFonts w:ascii="Times New Roman;serif" w:hAnsi="Times New Roman;serif"/>
                <w:b/>
                <w:color w:val="000000"/>
                <w:sz w:val="10"/>
              </w:rPr>
              <w: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Funding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Collateral Carrying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 Value</w:t>
            </w:r>
          </w:p>
        </w:tc>
      </w:tr>
      <w:tr>
        <w:trPr/>
        <w:tc>
          <w:tcPr>
            <w:tcW w:w="16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Debt carried at cost:</w:t>
            </w:r>
          </w:p>
        </w:tc>
        <w:tc>
          <w:tcPr>
            <w:tcW w:w="10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Funding debt:</w:t>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Warehouse Facility 1</w:t>
            </w:r>
            <w:r>
              <w:rPr>
                <w:rFonts w:ascii="Times New Roman;serif" w:hAnsi="Times New Roman;serif"/>
                <w:b w:val="false"/>
                <w:color w:val="000000"/>
                <w:sz w:val="10"/>
              </w:rPr>
              <w:t>(B)</w:t>
            </w:r>
          </w:p>
        </w:tc>
        <w:tc>
          <w:tcPr>
            <w:tcW w:w="2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August 2020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July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28,286 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Warehouse Facility 2</w:t>
            </w:r>
            <w:r>
              <w:rPr>
                <w:rFonts w:ascii="Times New Roman;serif" w:hAnsi="Times New Roman;serif"/>
                <w:b w:val="false"/>
                <w:color w:val="000000"/>
                <w:sz w:val="10"/>
              </w:rPr>
              <w:t>(C)</w:t>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2,904 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November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May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4,686 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61,007 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Warehouse Facility 3</w:t>
            </w:r>
            <w:r>
              <w:rPr>
                <w:rFonts w:ascii="Times New Roman;serif" w:hAnsi="Times New Roman;serif"/>
                <w:b w:val="false"/>
                <w:color w:val="000000"/>
                <w:sz w:val="10"/>
              </w:rPr>
              <w:t>(D)</w:t>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October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October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26,227 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Warehouse Facility 4</w:t>
            </w:r>
            <w:r>
              <w:rPr>
                <w:rFonts w:ascii="Times New Roman;serif" w:hAnsi="Times New Roman;serif"/>
                <w:b w:val="false"/>
                <w:color w:val="000000"/>
                <w:sz w:val="10"/>
              </w:rPr>
              <w:t>(E)</w:t>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7,039 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February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January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8,330 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68,568 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Warehouse Facility 5</w:t>
            </w:r>
            <w:r>
              <w:rPr>
                <w:rFonts w:ascii="Times New Roman;serif" w:hAnsi="Times New Roman;serif"/>
                <w:b w:val="false"/>
                <w:color w:val="000000"/>
                <w:sz w:val="10"/>
              </w:rPr>
              <w:t>(F)</w:t>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October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21,697 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REIT Warehouse</w:t>
            </w:r>
            <w:r>
              <w:rPr>
                <w:rFonts w:ascii="Times New Roman;serif" w:hAnsi="Times New Roman;serif"/>
                <w:b w:val="false"/>
                <w:color w:val="000000"/>
                <w:sz w:val="10"/>
              </w:rPr>
              <w:t>(G)</w:t>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October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December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560 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99,204 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Warehouse Facility 6</w:t>
            </w:r>
            <w:r>
              <w:rPr>
                <w:rFonts w:ascii="Times New Roman;serif" w:hAnsi="Times New Roman;serif"/>
                <w:b w:val="false"/>
                <w:color w:val="000000"/>
                <w:sz w:val="10"/>
              </w:rPr>
              <w:t>(H)</w:t>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May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May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Warehouse Facility 7</w:t>
            </w:r>
            <w:r>
              <w:rPr>
                <w:rFonts w:ascii="Times New Roman;serif" w:hAnsi="Times New Roman;serif"/>
                <w:b w:val="false"/>
                <w:color w:val="000000"/>
                <w:sz w:val="10"/>
              </w:rPr>
              <w:t>(I)</w:t>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February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August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Warehouse Facility 8</w:t>
            </w:r>
            <w:r>
              <w:rPr>
                <w:rFonts w:ascii="Times New Roman;serif" w:hAnsi="Times New Roman;serif"/>
                <w:b w:val="false"/>
                <w:color w:val="000000"/>
                <w:sz w:val="10"/>
              </w:rPr>
              <w:t>(J)</w:t>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March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Warehouse Facility 9</w:t>
            </w:r>
            <w:r>
              <w:rPr>
                <w:rFonts w:ascii="Times New Roman;serif" w:hAnsi="Times New Roman;serif"/>
                <w:b w:val="false"/>
                <w:color w:val="000000"/>
                <w:sz w:val="10"/>
              </w:rPr>
              <w:t>(K)</w:t>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March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March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861 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Warehouse Facility 10</w:t>
            </w:r>
            <w:r>
              <w:rPr>
                <w:rFonts w:ascii="Times New Roman;serif" w:hAnsi="Times New Roman;serif"/>
                <w:b w:val="false"/>
                <w:color w:val="000000"/>
                <w:sz w:val="10"/>
              </w:rPr>
              <w:t>(L)</w:t>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April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April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7.4 </w:t>
            </w:r>
          </w:p>
        </w:tc>
        <w:tc>
          <w:tcPr>
            <w:tcW w:w="6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2,190 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Warehouse Facility 11</w:t>
            </w:r>
            <w:r>
              <w:rPr>
                <w:rFonts w:ascii="Times New Roman;serif" w:hAnsi="Times New Roman;serif"/>
                <w:b w:val="false"/>
                <w:color w:val="000000"/>
                <w:sz w:val="10"/>
              </w:rPr>
              <w:t>(M)</w:t>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6,063 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July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June 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5,886 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Digital Asset Loan Facility</w:t>
            </w:r>
            <w:r>
              <w:rPr>
                <w:rFonts w:ascii="Times New Roman;serif" w:hAnsi="Times New Roman;serif"/>
                <w:b w:val="false"/>
                <w:color w:val="000000"/>
                <w:sz w:val="10"/>
              </w:rPr>
              <w:t>(N)</w:t>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3,097 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April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October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15.0 </w:t>
            </w:r>
          </w:p>
        </w:tc>
        <w:tc>
          <w:tcPr>
            <w:tcW w:w="6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3,073 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21,553 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305,850 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MSR financing:</w:t>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Lender 1</w:t>
            </w:r>
            <w:r>
              <w:rPr>
                <w:rFonts w:ascii="Times New Roman;serif" w:hAnsi="Times New Roman;serif"/>
                <w:b w:val="false"/>
                <w:color w:val="000000"/>
                <w:sz w:val="10"/>
              </w:rPr>
              <w:t>(O)</w:t>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40,000 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June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June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16.9 </w:t>
            </w:r>
          </w:p>
        </w:tc>
        <w:tc>
          <w:tcPr>
            <w:tcW w:w="6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63,767 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40,000 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Financed retained interests:</w:t>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Retained Interest Facility</w:t>
            </w:r>
            <w:r>
              <w:rPr>
                <w:rFonts w:ascii="Times New Roman;serif" w:hAnsi="Times New Roman;serif"/>
                <w:b w:val="false"/>
                <w:color w:val="000000"/>
                <w:sz w:val="10"/>
              </w:rPr>
              <w:t>(P)</w:t>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231,633 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April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6"/>
              </w:rPr>
              <w:t>Various</w:t>
            </w:r>
            <w:r>
              <w:rPr>
                <w:rFonts w:ascii="Times New Roman;serif" w:hAnsi="Times New Roman;serif"/>
                <w:b w:val="false"/>
                <w:color w:val="000000"/>
                <w:sz w:val="10"/>
              </w:rPr>
              <w:t>(Q)</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231,788 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129,005 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debt carried at cost, gross</w:t>
            </w:r>
          </w:p>
        </w:tc>
        <w:tc>
          <w:tcPr>
            <w:tcW w:w="9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293,186 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474,855 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Unamortized deferred financing costs</w:t>
            </w:r>
            <w:r>
              <w:rPr>
                <w:rFonts w:ascii="Times New Roman;serif" w:hAnsi="Times New Roman;serif"/>
                <w:b w:val="false"/>
                <w:color w:val="000000"/>
                <w:sz w:val="10"/>
              </w:rPr>
              <w:t>(R)</w:t>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(2,603)</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(1,679)</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debt carried at cost, net</w:t>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290,583 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473,176 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Debt at fair value:</w:t>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FCC</w:t>
            </w:r>
            <w:r>
              <w:rPr>
                <w:rFonts w:ascii="Times New Roman;serif" w:hAnsi="Times New Roman;serif"/>
                <w:b w:val="false"/>
                <w:color w:val="000000"/>
                <w:sz w:val="10"/>
              </w:rPr>
              <w:t>(S)</w:t>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76,110 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Democratized Prime YLDS</w:t>
            </w:r>
            <w:r>
              <w:rPr>
                <w:rFonts w:ascii="Times New Roman;serif" w:hAnsi="Times New Roman;serif"/>
                <w:b w:val="false"/>
                <w:color w:val="000000"/>
                <w:sz w:val="10"/>
              </w:rPr>
              <w:t>(T)</w:t>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24,409 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100,519 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Debt at fair value to related parties:</w:t>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FCC - related parties</w:t>
            </w:r>
            <w:r>
              <w:rPr>
                <w:rFonts w:ascii="Times New Roman;serif" w:hAnsi="Times New Roman;serif"/>
                <w:b w:val="false"/>
                <w:color w:val="000000"/>
                <w:sz w:val="10"/>
              </w:rPr>
              <w:t>(S)</w:t>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Democratized Prime YLDS - related parties</w:t>
            </w:r>
            <w:r>
              <w:rPr>
                <w:rFonts w:ascii="Times New Roman;serif" w:hAnsi="Times New Roman;serif"/>
                <w:b w:val="false"/>
                <w:color w:val="000000"/>
                <w:sz w:val="10"/>
              </w:rPr>
              <w:t>(T)</w:t>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164,085 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166,135 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debt carried at fair value</w:t>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266,654 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debt</w:t>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557,237 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473,176 </w:t>
            </w:r>
          </w:p>
        </w:tc>
        <w:tc>
          <w:tcPr>
            <w:tcW w:w="1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both"/>
        <w:rPr/>
      </w:pPr>
      <w:r>
        <w:rPr>
          <w:rFonts w:ascii="Times New Roman;serif" w:hAnsi="Times New Roman;serif"/>
          <w:b w:val="false"/>
          <w:color w:val="000000"/>
          <w:sz w:val="10"/>
        </w:rPr>
        <w:t>(A)    </w:t>
      </w:r>
      <w:r>
        <w:rPr>
          <w:rFonts w:ascii="Times New Roman;serif" w:hAnsi="Times New Roman;serif"/>
          <w:b w:val="false"/>
          <w:color w:val="000000"/>
          <w:sz w:val="16"/>
        </w:rPr>
        <w:t>Debt obligations with a stated maturity through the date of issuance of the Consolidated Financial Statements were refinanced, extended or repaid.</w:t>
      </w:r>
    </w:p>
    <w:p>
      <w:pPr>
        <w:pStyle w:val="TextBody"/>
        <w:bidi w:val="0"/>
        <w:spacing w:lineRule="auto" w:line="288" w:before="0" w:after="0"/>
        <w:ind w:left="0" w:right="0" w:hanging="180"/>
        <w:jc w:val="both"/>
        <w:rPr/>
      </w:pPr>
      <w:r>
        <w:rPr>
          <w:rFonts w:ascii="Times New Roman;serif" w:hAnsi="Times New Roman;serif"/>
          <w:b w:val="false"/>
          <w:color w:val="000000"/>
          <w:sz w:val="10"/>
        </w:rPr>
        <w:t>(B)    </w:t>
      </w:r>
      <w:r>
        <w:rPr>
          <w:rFonts w:ascii="Times New Roman;serif" w:hAnsi="Times New Roman;serif"/>
          <w:b w:val="false"/>
          <w:color w:val="000000"/>
          <w:sz w:val="16"/>
        </w:rPr>
        <w:t>Warehouse Facility 1 was closed in July 2025.</w:t>
      </w:r>
    </w:p>
    <w:p>
      <w:pPr>
        <w:pStyle w:val="TextBody"/>
        <w:bidi w:val="0"/>
        <w:spacing w:lineRule="auto" w:line="288" w:before="0" w:after="0"/>
        <w:ind w:left="0" w:right="0" w:hanging="180"/>
        <w:jc w:val="both"/>
        <w:rPr/>
      </w:pPr>
      <w:r>
        <w:rPr>
          <w:rFonts w:ascii="Times New Roman;serif" w:hAnsi="Times New Roman;serif"/>
          <w:b w:val="false"/>
          <w:color w:val="000000"/>
          <w:sz w:val="10"/>
        </w:rPr>
        <w:t>(C)    </w:t>
      </w:r>
      <w:r>
        <w:rPr>
          <w:rFonts w:ascii="Times New Roman;serif" w:hAnsi="Times New Roman;serif"/>
          <w:b w:val="false"/>
          <w:color w:val="000000"/>
          <w:sz w:val="16"/>
        </w:rPr>
        <w:t>Warehouse Facility 2 bears interest at Secured Financing Overnight Rate (“SOFR”) plus a spread of 2.25% at December 31, 2025.</w:t>
      </w:r>
    </w:p>
    <w:p>
      <w:pPr>
        <w:pStyle w:val="TextBody"/>
        <w:bidi w:val="0"/>
        <w:spacing w:lineRule="auto" w:line="288" w:before="0" w:after="0"/>
        <w:ind w:left="0" w:right="0" w:hanging="180"/>
        <w:jc w:val="both"/>
        <w:rPr/>
      </w:pPr>
      <w:r>
        <w:rPr>
          <w:rFonts w:ascii="Times New Roman;serif" w:hAnsi="Times New Roman;serif"/>
          <w:b w:val="false"/>
          <w:color w:val="000000"/>
          <w:sz w:val="10"/>
        </w:rPr>
        <w:t>(D)    </w:t>
      </w:r>
      <w:r>
        <w:rPr>
          <w:rFonts w:ascii="Times New Roman;serif" w:hAnsi="Times New Roman;serif"/>
          <w:b w:val="false"/>
          <w:color w:val="000000"/>
          <w:sz w:val="16"/>
        </w:rPr>
        <w:t>Warehouse Facility 3 was paid down in September 2025 and subsequently reached maturity. The interest accrued on the loans was payable to the lender during the period the loans are held, and the Company paid a variable exit fee, which was determined on a quarterly basis as follows: (i) the first $50.0 million of principal balance repurchased is subject to a 0.5% exit fee, and (ii) amounts in excess of $50.0 million are subject to an exit fee that are between 0.125% to 1.50% of the price at which the Company securitizes repurchased loans (or otherwise agreed between the Company and the lender for repurchased loans not securitized).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322580"/>
                <wp:effectExtent l="0" t="0" r="0" b="0"/>
                <wp:wrapNone/>
                <wp:docPr id="158" name="Frame156"/>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156</w:t>
                            </w:r>
                          </w:p>
                          <w:p>
                            <w:pPr>
                              <w:pStyle w:val="TextBody"/>
                              <w:bidi w:val="0"/>
                              <w:spacing w:lineRule="auto" w:line="288" w:before="0" w:after="180"/>
                              <w:jc w:val="left"/>
                              <w:rPr/>
                            </w:pPr>
                            <w:hyperlink w:anchor="i8e13d1b6f3764394b0e424082d2ac79f_151">
                              <w:r>
                                <w:rPr>
                                  <w:rStyle w:val="InternetLink"/>
                                  <w:rFonts w:ascii="Times New Roman;serif" w:hAnsi="Times New Roman;serif"/>
                                  <w:b w:val="false"/>
                                  <w:color w:val="0000FF"/>
                                  <w:sz w:val="20"/>
                                  <w:u w:val="single"/>
                                </w:rPr>
                                <w:t>Table of Contents</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156</w:t>
                      </w:r>
                    </w:p>
                    <w:p>
                      <w:pPr>
                        <w:pStyle w:val="TextBody"/>
                        <w:bidi w:val="0"/>
                        <w:spacing w:lineRule="auto" w:line="288" w:before="0" w:after="180"/>
                        <w:jc w:val="left"/>
                        <w:rPr/>
                      </w:pPr>
                      <w:hyperlink w:anchor="i8e13d1b6f3764394b0e424082d2ac79f_151">
                        <w:r>
                          <w:rPr>
                            <w:rStyle w:val="InternetLink"/>
                            <w:rFonts w:ascii="Times New Roman;serif" w:hAnsi="Times New Roman;serif"/>
                            <w:b w:val="false"/>
                            <w:color w:val="0000FF"/>
                            <w:sz w:val="20"/>
                            <w:u w:val="single"/>
                          </w:rPr>
                          <w:t>Table of Contents</w:t>
                        </w:r>
                      </w:hyperlink>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FIGURE TECHNOLOGY SOLUTIONS,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tables in thousands, except share and per share data, units, ratios or as otherwise noted)</w:t>
      </w:r>
    </w:p>
    <w:p>
      <w:pPr>
        <w:pStyle w:val="TextBody"/>
        <w:bidi w:val="0"/>
        <w:spacing w:before="0" w:after="180"/>
        <w:jc w:val="center"/>
        <w:rPr/>
      </w:pPr>
      <w:r>
        <w:rPr/>
      </w:r>
    </w:p>
    <w:p>
      <w:pPr>
        <w:pStyle w:val="TextBody"/>
        <w:bidi w:val="0"/>
        <w:spacing w:lineRule="auto" w:line="288" w:before="0" w:after="0"/>
        <w:ind w:left="0" w:right="0" w:hanging="180"/>
        <w:jc w:val="both"/>
        <w:rPr/>
      </w:pPr>
      <w:r>
        <w:rPr>
          <w:rFonts w:ascii="Times New Roman;serif" w:hAnsi="Times New Roman;serif"/>
          <w:b w:val="false"/>
          <w:color w:val="000000"/>
          <w:sz w:val="10"/>
        </w:rPr>
        <w:t>(E)    </w:t>
      </w:r>
      <w:r>
        <w:rPr>
          <w:rFonts w:ascii="Times New Roman;serif" w:hAnsi="Times New Roman;serif"/>
          <w:b w:val="false"/>
          <w:color w:val="000000"/>
          <w:sz w:val="16"/>
        </w:rPr>
        <w:t>Warehouse Facility 4 bears variable interest at SOFR plus a spread between 2.15% and 5.50% at December 31, 2025. A portion of the facility is also subject to a 0.5% non-use fee. The facility was amended in January 2026 to extend the maturity date; see Note 14 for additional information.</w:t>
      </w:r>
    </w:p>
    <w:p>
      <w:pPr>
        <w:pStyle w:val="TextBody"/>
        <w:bidi w:val="0"/>
        <w:spacing w:lineRule="auto" w:line="288" w:before="0" w:after="0"/>
        <w:ind w:left="0" w:right="0" w:hanging="180"/>
        <w:jc w:val="both"/>
        <w:rPr/>
      </w:pPr>
      <w:r>
        <w:rPr>
          <w:rFonts w:ascii="Times New Roman;serif" w:hAnsi="Times New Roman;serif"/>
          <w:b w:val="false"/>
          <w:color w:val="000000"/>
          <w:sz w:val="10"/>
        </w:rPr>
        <w:t>(F)</w:t>
      </w:r>
      <w:r>
        <w:rPr>
          <w:color w:val="000000"/>
        </w:rPr>
        <w:t>    </w:t>
      </w:r>
      <w:r>
        <w:rPr>
          <w:rFonts w:ascii="Times New Roman;serif" w:hAnsi="Times New Roman;serif"/>
          <w:b w:val="false"/>
          <w:color w:val="000000"/>
          <w:sz w:val="16"/>
        </w:rPr>
        <w:t xml:space="preserve">Warehouse Facility 5 is an advance facility in which the lender earns carry on collateral in the facility. </w:t>
      </w:r>
    </w:p>
    <w:p>
      <w:pPr>
        <w:pStyle w:val="TextBody"/>
        <w:bidi w:val="0"/>
        <w:spacing w:lineRule="auto" w:line="288" w:before="0" w:after="0"/>
        <w:ind w:left="0" w:right="0" w:hanging="180"/>
        <w:jc w:val="both"/>
        <w:rPr/>
      </w:pPr>
      <w:r>
        <w:rPr>
          <w:rFonts w:ascii="Times New Roman;serif" w:hAnsi="Times New Roman;serif"/>
          <w:b w:val="false"/>
          <w:color w:val="000000"/>
          <w:sz w:val="10"/>
        </w:rPr>
        <w:t>(G)</w:t>
      </w:r>
      <w:r>
        <w:rPr>
          <w:color w:val="000000"/>
        </w:rPr>
        <w:t>    </w:t>
      </w:r>
      <w:r>
        <w:rPr>
          <w:rFonts w:ascii="Times New Roman;serif" w:hAnsi="Times New Roman;serif"/>
          <w:b w:val="false"/>
          <w:color w:val="000000"/>
          <w:sz w:val="16"/>
        </w:rPr>
        <w:t>Real Estate Investment Trust ("REIT") Warehouse bears interest at SOFR plus a spread of (i) if the average daily aggregate outstanding purchase price for all purchased mortgage loans subject to outstanding transactions during such pricing rate period is greater than or equal to $100.0 million, 3.00% or (ii) if the average daily aggregate outstanding purchase price for all purchased mortgage loans subject to outstanding transactions during such pricing rate period is less than $100.0 million, 3.50%. The facility also carries a 0.15% exit fee on repurchased, non-securitized loans which in aggregate cannot exceed $0.5 million in a given calendar year.    </w:t>
      </w:r>
    </w:p>
    <w:p>
      <w:pPr>
        <w:pStyle w:val="TextBody"/>
        <w:bidi w:val="0"/>
        <w:spacing w:lineRule="auto" w:line="288" w:before="0" w:after="0"/>
        <w:ind w:left="0" w:right="0" w:hanging="180"/>
        <w:jc w:val="both"/>
        <w:rPr/>
      </w:pPr>
      <w:r>
        <w:rPr>
          <w:rFonts w:ascii="Times New Roman;serif" w:hAnsi="Times New Roman;serif"/>
          <w:b w:val="false"/>
          <w:color w:val="000000"/>
          <w:sz w:val="10"/>
        </w:rPr>
        <w:t>(H)    </w:t>
      </w:r>
      <w:r>
        <w:rPr>
          <w:rFonts w:ascii="Times New Roman;serif" w:hAnsi="Times New Roman;serif"/>
          <w:b w:val="false"/>
          <w:color w:val="000000"/>
          <w:sz w:val="16"/>
        </w:rPr>
        <w:t>Warehouse Facility 6 bears interest at SOFR, plus a spread of 3.5% at December 31, 2025. The facility also carries a 0.5% exit fee on all loans repurchased from the facility.</w:t>
      </w:r>
    </w:p>
    <w:p>
      <w:pPr>
        <w:pStyle w:val="TextBody"/>
        <w:bidi w:val="0"/>
        <w:spacing w:lineRule="auto" w:line="288" w:before="0" w:after="0"/>
        <w:ind w:left="0" w:right="0" w:hanging="180"/>
        <w:jc w:val="both"/>
        <w:rPr/>
      </w:pPr>
      <w:r>
        <w:rPr>
          <w:rFonts w:ascii="Times New Roman;serif" w:hAnsi="Times New Roman;serif"/>
          <w:b w:val="false"/>
          <w:color w:val="000000"/>
          <w:sz w:val="10"/>
        </w:rPr>
        <w:t>(I)    </w:t>
      </w:r>
      <w:r>
        <w:rPr>
          <w:rFonts w:ascii="Times New Roman;serif" w:hAnsi="Times New Roman;serif"/>
          <w:b w:val="false"/>
          <w:color w:val="000000"/>
          <w:sz w:val="16"/>
        </w:rPr>
        <w:t>Warehouse Facility 7 was closed in August 2025.</w:t>
      </w:r>
    </w:p>
    <w:p>
      <w:pPr>
        <w:pStyle w:val="TextBody"/>
        <w:bidi w:val="0"/>
        <w:spacing w:lineRule="auto" w:line="288" w:before="0" w:after="0"/>
        <w:ind w:left="0" w:right="0" w:hanging="180"/>
        <w:jc w:val="both"/>
        <w:rPr/>
      </w:pPr>
      <w:r>
        <w:rPr>
          <w:rFonts w:ascii="Times New Roman;serif" w:hAnsi="Times New Roman;serif"/>
          <w:b w:val="false"/>
          <w:color w:val="000000"/>
          <w:sz w:val="10"/>
        </w:rPr>
        <w:t>(J)    </w:t>
      </w:r>
      <w:r>
        <w:rPr>
          <w:rFonts w:ascii="Times New Roman;serif" w:hAnsi="Times New Roman;serif"/>
          <w:b w:val="false"/>
          <w:color w:val="000000"/>
          <w:sz w:val="16"/>
        </w:rPr>
        <w:t>Warehouse Facility 8 was closed in December 2024.</w:t>
      </w:r>
    </w:p>
    <w:p>
      <w:pPr>
        <w:pStyle w:val="TextBody"/>
        <w:bidi w:val="0"/>
        <w:spacing w:lineRule="auto" w:line="288" w:before="0" w:after="0"/>
        <w:ind w:left="0" w:right="0" w:hanging="180"/>
        <w:jc w:val="both"/>
        <w:rPr/>
      </w:pPr>
      <w:r>
        <w:rPr>
          <w:rFonts w:ascii="Times New Roman;serif" w:hAnsi="Times New Roman;serif"/>
          <w:b w:val="false"/>
          <w:color w:val="000000"/>
          <w:sz w:val="10"/>
        </w:rPr>
        <w:t xml:space="preserve">(K) </w:t>
      </w:r>
      <w:r>
        <w:rPr>
          <w:rFonts w:ascii="Times New Roman;serif" w:hAnsi="Times New Roman;serif"/>
          <w:b w:val="false"/>
          <w:color w:val="000000"/>
          <w:sz w:val="16"/>
        </w:rPr>
        <w:t xml:space="preserve">Warehouse Facility 9 was closed in March 2025. </w:t>
      </w:r>
    </w:p>
    <w:p>
      <w:pPr>
        <w:pStyle w:val="TextBody"/>
        <w:bidi w:val="0"/>
        <w:spacing w:lineRule="auto" w:line="288" w:before="0" w:after="0"/>
        <w:ind w:left="0" w:right="0" w:hanging="180"/>
        <w:jc w:val="both"/>
        <w:rPr/>
      </w:pPr>
      <w:r>
        <w:rPr>
          <w:rFonts w:ascii="Times New Roman;serif" w:hAnsi="Times New Roman;serif"/>
          <w:b w:val="false"/>
          <w:color w:val="000000"/>
          <w:sz w:val="10"/>
        </w:rPr>
        <w:t>(L)    </w:t>
      </w:r>
      <w:r>
        <w:rPr>
          <w:rFonts w:ascii="Times New Roman;serif" w:hAnsi="Times New Roman;serif"/>
          <w:b w:val="false"/>
          <w:color w:val="000000"/>
          <w:sz w:val="16"/>
        </w:rPr>
        <w:t>Warehouse Facility 10 bears interest at SOFR, plus a spread of 2.35%.</w:t>
      </w:r>
    </w:p>
    <w:p>
      <w:pPr>
        <w:pStyle w:val="TextBody"/>
        <w:bidi w:val="0"/>
        <w:spacing w:lineRule="auto" w:line="288" w:before="0" w:after="0"/>
        <w:ind w:left="0" w:right="0" w:hanging="180"/>
        <w:jc w:val="both"/>
        <w:rPr/>
      </w:pPr>
      <w:r>
        <w:rPr>
          <w:rFonts w:ascii="Times New Roman;serif" w:hAnsi="Times New Roman;serif"/>
          <w:b w:val="false"/>
          <w:color w:val="000000"/>
          <w:sz w:val="10"/>
        </w:rPr>
        <w:t>(M)    </w:t>
      </w:r>
      <w:r>
        <w:rPr>
          <w:rFonts w:ascii="Times New Roman;serif" w:hAnsi="Times New Roman;serif"/>
          <w:b w:val="false"/>
          <w:color w:val="000000"/>
          <w:sz w:val="16"/>
        </w:rPr>
        <w:t>Warehouse Facility 11 bears interest at SOFR, subject to a 2.0% floor, plus a spread of 1.75%.</w:t>
      </w:r>
    </w:p>
    <w:p>
      <w:pPr>
        <w:pStyle w:val="TextBody"/>
        <w:bidi w:val="0"/>
        <w:spacing w:lineRule="auto" w:line="288" w:before="0" w:after="0"/>
        <w:ind w:left="0" w:right="0" w:hanging="180"/>
        <w:jc w:val="both"/>
        <w:rPr/>
      </w:pPr>
      <w:r>
        <w:rPr>
          <w:rFonts w:ascii="Times New Roman;serif" w:hAnsi="Times New Roman;serif"/>
          <w:b w:val="false"/>
          <w:color w:val="000000"/>
          <w:sz w:val="10"/>
        </w:rPr>
        <w:t xml:space="preserve">(N)     </w:t>
      </w:r>
      <w:r>
        <w:rPr>
          <w:rFonts w:ascii="Times New Roman;serif" w:hAnsi="Times New Roman;serif"/>
          <w:b w:val="false"/>
          <w:color w:val="000000"/>
          <w:sz w:val="16"/>
        </w:rPr>
        <w:t>The Digital Asset Loan Facility bears interest at a rate of 13.5%.</w:t>
      </w:r>
    </w:p>
    <w:p>
      <w:pPr>
        <w:pStyle w:val="TextBody"/>
        <w:bidi w:val="0"/>
        <w:spacing w:lineRule="auto" w:line="288" w:before="0" w:after="0"/>
        <w:ind w:left="0" w:right="0" w:hanging="180"/>
        <w:jc w:val="both"/>
        <w:rPr/>
      </w:pPr>
      <w:r>
        <w:rPr>
          <w:rFonts w:ascii="Times New Roman;serif" w:hAnsi="Times New Roman;serif"/>
          <w:b w:val="false"/>
          <w:color w:val="000000"/>
          <w:sz w:val="10"/>
        </w:rPr>
        <w:t xml:space="preserve">(O) </w:t>
      </w:r>
      <w:r>
        <w:rPr>
          <w:rFonts w:ascii="Times New Roman;serif" w:hAnsi="Times New Roman;serif"/>
          <w:b w:val="false"/>
          <w:color w:val="000000"/>
          <w:sz w:val="16"/>
        </w:rPr>
        <w:t>The MSR Note bears interest at 16.5% per annum and secured by eligible servicing assets, which include servicing fees related to loan servicing rights owned by, or delegated to, the Company.</w:t>
      </w:r>
    </w:p>
    <w:p>
      <w:pPr>
        <w:pStyle w:val="TextBody"/>
        <w:bidi w:val="0"/>
        <w:spacing w:lineRule="auto" w:line="288" w:before="0" w:after="0"/>
        <w:ind w:left="0" w:right="0" w:hanging="180"/>
        <w:jc w:val="both"/>
        <w:rPr/>
      </w:pPr>
      <w:r>
        <w:rPr>
          <w:rFonts w:ascii="Times New Roman;serif" w:hAnsi="Times New Roman;serif"/>
          <w:b w:val="false"/>
          <w:color w:val="000000"/>
          <w:sz w:val="10"/>
        </w:rPr>
        <w:t>(P)    </w:t>
      </w:r>
      <w:r>
        <w:rPr>
          <w:rFonts w:ascii="Times New Roman;serif" w:hAnsi="Times New Roman;serif"/>
          <w:b w:val="false"/>
          <w:color w:val="000000"/>
          <w:sz w:val="16"/>
        </w:rPr>
        <w:t>Under the Retained Interest Facility, the interest accrued on the securities and beneficial interests is payable to the lender during the period the loans are held plus a spread between 0.50% and 0.55%, depending on the tranche to which the Company pledges collateral.</w:t>
      </w:r>
    </w:p>
    <w:p>
      <w:pPr>
        <w:pStyle w:val="TextBody"/>
        <w:bidi w:val="0"/>
        <w:spacing w:lineRule="auto" w:line="288" w:before="0" w:after="0"/>
        <w:ind w:left="0" w:right="0" w:hanging="180"/>
        <w:jc w:val="both"/>
        <w:rPr/>
      </w:pPr>
      <w:r>
        <w:rPr>
          <w:rFonts w:ascii="Times New Roman;serif" w:hAnsi="Times New Roman;serif"/>
          <w:b w:val="false"/>
          <w:color w:val="000000"/>
          <w:sz w:val="10"/>
        </w:rPr>
        <w:t>(Q)    </w:t>
      </w:r>
      <w:r>
        <w:rPr>
          <w:rFonts w:ascii="Times New Roman;serif" w:hAnsi="Times New Roman;serif"/>
          <w:b w:val="false"/>
          <w:color w:val="000000"/>
          <w:sz w:val="16"/>
        </w:rPr>
        <w:t>The maturities of financed retained interests align with the terms of the underlying securities. The financed retained interest have maturity dates through November 2055.</w:t>
      </w:r>
    </w:p>
    <w:p>
      <w:pPr>
        <w:pStyle w:val="TextBody"/>
        <w:bidi w:val="0"/>
        <w:spacing w:lineRule="auto" w:line="288" w:before="0" w:after="0"/>
        <w:ind w:left="0" w:right="0" w:hanging="180"/>
        <w:jc w:val="both"/>
        <w:rPr/>
      </w:pPr>
      <w:r>
        <w:rPr>
          <w:rFonts w:ascii="Times New Roman;serif" w:hAnsi="Times New Roman;serif"/>
          <w:b w:val="false"/>
          <w:color w:val="000000"/>
          <w:sz w:val="10"/>
        </w:rPr>
        <w:t>(R)</w:t>
      </w:r>
      <w:r>
        <w:rPr>
          <w:color w:val="000000"/>
        </w:rPr>
        <w:t>    </w:t>
      </w:r>
      <w:r>
        <w:rPr>
          <w:rFonts w:ascii="Times New Roman;serif" w:hAnsi="Times New Roman;serif"/>
          <w:b w:val="false"/>
          <w:color w:val="000000"/>
          <w:sz w:val="16"/>
        </w:rPr>
        <w:t>During the year ended December 31, 2025 and 2024, the Company amortized $1.0 million, and $1.0 million of deferred financing costs, respectively.</w:t>
      </w:r>
    </w:p>
    <w:p>
      <w:pPr>
        <w:pStyle w:val="TextBody"/>
        <w:bidi w:val="0"/>
        <w:spacing w:lineRule="auto" w:line="288" w:before="0" w:after="0"/>
        <w:ind w:left="0" w:right="0" w:hanging="180"/>
        <w:jc w:val="both"/>
        <w:rPr/>
      </w:pPr>
      <w:r>
        <w:rPr>
          <w:rFonts w:ascii="Times New Roman;serif" w:hAnsi="Times New Roman;serif"/>
          <w:b w:val="false"/>
          <w:color w:val="000000"/>
          <w:sz w:val="10"/>
        </w:rPr>
        <w:t>(S)</w:t>
      </w:r>
      <w:r>
        <w:rPr>
          <w:color w:val="000000"/>
        </w:rPr>
        <w:t>    </w:t>
      </w:r>
      <w:r>
        <w:rPr>
          <w:rFonts w:ascii="Times New Roman;serif" w:hAnsi="Times New Roman;serif"/>
          <w:b w:val="false"/>
          <w:color w:val="000000"/>
          <w:sz w:val="16"/>
        </w:rPr>
        <w:t>Interest accrues at a rate of SOFR less 35 basis points based on the face-amount certificates issued by FCC. Certificates mature 20 years from the issue date, but may be surrendered at any time by the holder at face amount, plus accrued interest minus any applicable expenses or fees.</w:t>
      </w:r>
    </w:p>
    <w:p>
      <w:pPr>
        <w:pStyle w:val="TextBody"/>
        <w:bidi w:val="0"/>
        <w:spacing w:lineRule="auto" w:line="288" w:before="0" w:after="180"/>
        <w:ind w:left="0" w:right="0" w:hanging="180"/>
        <w:jc w:val="both"/>
        <w:rPr/>
      </w:pPr>
      <w:r>
        <w:rPr>
          <w:rFonts w:ascii="Times New Roman;serif" w:hAnsi="Times New Roman;serif"/>
          <w:b w:val="false"/>
          <w:color w:val="000000"/>
          <w:sz w:val="10"/>
        </w:rPr>
        <w:t>(T)</w:t>
      </w:r>
      <w:r>
        <w:rPr>
          <w:color w:val="000000"/>
        </w:rPr>
        <w:t>    </w:t>
      </w:r>
      <w:r>
        <w:rPr>
          <w:rFonts w:ascii="Times New Roman;serif" w:hAnsi="Times New Roman;serif"/>
          <w:b w:val="false"/>
          <w:color w:val="000000"/>
          <w:sz w:val="16"/>
        </w:rPr>
        <w:t>Interest is accrued at an hourly rate that is agreed upon through a Dutch auction process; during the year ended December 31, 2025, the average interest rate was 8.7%. YLDS can be redeemed by the holder at face amount, plus accrued interest minus any applicable expenses or fees on demand.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Maturities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Contractual maturities of recourse and nonrecourse debt obligations at December 31, 2025, are as follows:</w:t>
      </w:r>
    </w:p>
    <w:tbl>
      <w:tblPr>
        <w:tblW w:w="5862" w:type="dxa"/>
        <w:jc w:val="left"/>
        <w:tblInd w:w="0" w:type="dxa"/>
        <w:tblLayout w:type="fixed"/>
        <w:tblCellMar>
          <w:top w:w="28" w:type="dxa"/>
          <w:left w:w="28" w:type="dxa"/>
          <w:bottom w:w="28" w:type="dxa"/>
          <w:right w:w="28" w:type="dxa"/>
        </w:tblCellMar>
      </w:tblPr>
      <w:tblGrid>
        <w:gridCol w:w="771"/>
        <w:gridCol w:w="678"/>
        <w:gridCol w:w="681"/>
        <w:gridCol w:w="196"/>
        <w:gridCol w:w="646"/>
        <w:gridCol w:w="109"/>
        <w:gridCol w:w="109"/>
        <w:gridCol w:w="109"/>
        <w:gridCol w:w="109"/>
        <w:gridCol w:w="196"/>
        <w:gridCol w:w="736"/>
        <w:gridCol w:w="109"/>
        <w:gridCol w:w="109"/>
        <w:gridCol w:w="109"/>
        <w:gridCol w:w="109"/>
        <w:gridCol w:w="196"/>
        <w:gridCol w:w="736"/>
        <w:gridCol w:w="154"/>
      </w:tblGrid>
      <w:tr>
        <w:trPr/>
        <w:tc>
          <w:tcPr>
            <w:tcW w:w="77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Years Ending December 31, </w:t>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Recourse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Nonrecourse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2026</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49,943 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55,490 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2027</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6,063 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2028</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2029</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2030</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Thereafter</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231,633 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231,633 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56,006 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237,180 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293,186 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322580"/>
                <wp:effectExtent l="0" t="0" r="0" b="0"/>
                <wp:wrapNone/>
                <wp:docPr id="159" name="Frame157"/>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157</w:t>
                            </w:r>
                          </w:p>
                          <w:p>
                            <w:pPr>
                              <w:pStyle w:val="TextBody"/>
                              <w:bidi w:val="0"/>
                              <w:spacing w:lineRule="auto" w:line="288" w:before="0" w:after="180"/>
                              <w:jc w:val="left"/>
                              <w:rPr/>
                            </w:pPr>
                            <w:hyperlink w:anchor="i8e13d1b6f3764394b0e424082d2ac79f_151">
                              <w:r>
                                <w:rPr>
                                  <w:rStyle w:val="InternetLink"/>
                                  <w:rFonts w:ascii="Times New Roman;serif" w:hAnsi="Times New Roman;serif"/>
                                  <w:b w:val="false"/>
                                  <w:color w:val="0000FF"/>
                                  <w:sz w:val="20"/>
                                  <w:u w:val="single"/>
                                </w:rPr>
                                <w:t>Table of Contents</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157</w:t>
                      </w:r>
                    </w:p>
                    <w:p>
                      <w:pPr>
                        <w:pStyle w:val="TextBody"/>
                        <w:bidi w:val="0"/>
                        <w:spacing w:lineRule="auto" w:line="288" w:before="0" w:after="180"/>
                        <w:jc w:val="left"/>
                        <w:rPr/>
                      </w:pPr>
                      <w:hyperlink w:anchor="i8e13d1b6f3764394b0e424082d2ac79f_151">
                        <w:r>
                          <w:rPr>
                            <w:rStyle w:val="InternetLink"/>
                            <w:rFonts w:ascii="Times New Roman;serif" w:hAnsi="Times New Roman;serif"/>
                            <w:b w:val="false"/>
                            <w:color w:val="0000FF"/>
                            <w:sz w:val="20"/>
                            <w:u w:val="single"/>
                          </w:rPr>
                          <w:t>Table of Contents</w:t>
                        </w:r>
                      </w:hyperlink>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FIGURE TECHNOLOGY SOLUTIONS,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tables in thousands, except share and per share data, units, ratios or as otherwise noted)</w:t>
      </w:r>
    </w:p>
    <w:p>
      <w:pPr>
        <w:pStyle w:val="TextBody"/>
        <w:bidi w:val="0"/>
        <w:spacing w:before="0" w:after="180"/>
        <w:jc w:val="center"/>
        <w:rPr/>
      </w:pPr>
      <w:r>
        <w:rPr/>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Borrowing Capacity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represents borrowing capacity of committed debt facilities that have not matured at December 31, 2025:</w:t>
      </w:r>
    </w:p>
    <w:tbl>
      <w:tblPr>
        <w:tblW w:w="7462" w:type="dxa"/>
        <w:jc w:val="left"/>
        <w:tblInd w:w="0" w:type="dxa"/>
        <w:tblLayout w:type="fixed"/>
        <w:tblCellMar>
          <w:top w:w="28" w:type="dxa"/>
          <w:left w:w="28" w:type="dxa"/>
          <w:bottom w:w="28" w:type="dxa"/>
          <w:right w:w="28" w:type="dxa"/>
        </w:tblCellMar>
      </w:tblPr>
      <w:tblGrid>
        <w:gridCol w:w="721"/>
        <w:gridCol w:w="635"/>
        <w:gridCol w:w="638"/>
        <w:gridCol w:w="265"/>
        <w:gridCol w:w="1178"/>
        <w:gridCol w:w="147"/>
        <w:gridCol w:w="109"/>
        <w:gridCol w:w="109"/>
        <w:gridCol w:w="109"/>
        <w:gridCol w:w="305"/>
        <w:gridCol w:w="1146"/>
        <w:gridCol w:w="169"/>
        <w:gridCol w:w="109"/>
        <w:gridCol w:w="109"/>
        <w:gridCol w:w="109"/>
        <w:gridCol w:w="257"/>
        <w:gridCol w:w="1145"/>
        <w:gridCol w:w="202"/>
      </w:tblGrid>
      <w:tr>
        <w:trPr/>
        <w:tc>
          <w:tcPr>
            <w:tcW w:w="721"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Borrowing Capacity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Balance Outstanding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Available Financing</w:t>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Funding Debt:</w:t>
            </w:r>
          </w:p>
        </w:tc>
        <w:tc>
          <w:tcPr>
            <w:tcW w:w="15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Warehouse Facility 2</w:t>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150,000 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2,904 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147,096 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Warehouse Facility 4</w:t>
            </w:r>
          </w:p>
        </w:tc>
        <w:tc>
          <w:tcPr>
            <w:tcW w:w="14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335,300 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7,039 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328,261 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REIT Warehouse</w:t>
            </w:r>
          </w:p>
        </w:tc>
        <w:tc>
          <w:tcPr>
            <w:tcW w:w="14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200,000 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199,250 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Warehouse Facility 6</w:t>
            </w:r>
          </w:p>
        </w:tc>
        <w:tc>
          <w:tcPr>
            <w:tcW w:w="14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250,000 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250,000 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r>
      <w:tr>
        <w:trPr/>
        <w:tc>
          <w:tcPr>
            <w:tcW w:w="1994"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r>
      <w:tr>
        <w:trPr/>
        <w:tc>
          <w:tcPr>
            <w:tcW w:w="1994"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Warehouse Facility 10</w:t>
            </w:r>
          </w:p>
        </w:tc>
        <w:tc>
          <w:tcPr>
            <w:tcW w:w="14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300,000 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298,300 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Warehouse Facility 11</w:t>
            </w:r>
          </w:p>
        </w:tc>
        <w:tc>
          <w:tcPr>
            <w:tcW w:w="14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300,000 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6,063 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293,937 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Digital Asset Loan Facility</w:t>
            </w:r>
          </w:p>
        </w:tc>
        <w:tc>
          <w:tcPr>
            <w:tcW w:w="14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30,000 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3,097 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26,903 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MSR financing:</w:t>
            </w:r>
          </w:p>
        </w:tc>
        <w:tc>
          <w:tcPr>
            <w:tcW w:w="1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Lender 1</w:t>
            </w:r>
          </w:p>
        </w:tc>
        <w:tc>
          <w:tcPr>
            <w:tcW w:w="14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40,000 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40,000 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Financed retained interests:</w:t>
            </w:r>
          </w:p>
        </w:tc>
        <w:tc>
          <w:tcPr>
            <w:tcW w:w="1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Retained Interest Facility</w:t>
            </w:r>
          </w:p>
        </w:tc>
        <w:tc>
          <w:tcPr>
            <w:tcW w:w="14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500,000 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231,633 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268,367 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2,105,300 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293,186 </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1,812,114 </w:t>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Certain debt obligations are subject to customary loan covenants, such as minimum tangible net worth, minimum liquidity, maximum leverage ratios, required range of net income or loss during specified periods, periodic financial reporting requirements, and event of default provisions, including event of default provisions triggered by certain specified declines in the Company’s equity or a failure to maintain a specified tangible net worth, liquidity, or indebtedness to tangible net worth ratio. The Company was in compliance with all of its debt covenants at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Facilities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summarizes the debt facilities that the Company entered into or amended during the years ended December 31, 2025 and 2024:</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Warehouse Facility 2</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December 2024, the Company amended Warehouse Facility 2 to reduce the borrowing limit to $250.0 million and to lower the interest rate from SOFR plus a spread of 4% to SOFR plus a spread of 3%.</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May 2025, the Company and its lender amended Warehouse Facility 2 to reduce the borrowing capacity to $150.0 million, expand eligible collateral types, and reduce certain funding costs. The amended facility has an initial maturity date of May 2026, and borrowings under the facility bear interest at a rate of SOFR plus a spread of 2.25%.</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Warehouse Facility 3</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February 2024, the Company amended Warehouse Facility 3 to temporarily increase the borrowing limit from $100.0 million to $200.0 million for the period February 1, 2024 through April 30, 2024.</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Warehouse Facility 4</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March 2024, the Company amended Warehouse Facility 4 to establish a second class of buyer under the facility. Borrowings to Class A and Class B Buyers were limited to $200.0 million and $37.5 million, respectively, with an aggregate borrowing limit of $237.5 million. In January 2025, the Company further amended Warehouse Facility 4 to increase the aggregate borrowing limit to $335.3 million and extend the maturity date to January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293370"/>
                <wp:effectExtent l="0" t="0" r="0" b="0"/>
                <wp:wrapNone/>
                <wp:docPr id="160" name="Frame158"/>
                <a:graphic xmlns:a="http://schemas.openxmlformats.org/drawingml/2006/main">
                  <a:graphicData uri="http://schemas.microsoft.com/office/word/2010/wordprocessingShape">
                    <wps:wsp>
                      <wps:cNvSpPr txBox="1"/>
                      <wps:spPr>
                        <a:xfrm>
                          <a:off x="0" y="0"/>
                          <a:ext cx="6480175" cy="293370"/>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158</w:t>
                            </w:r>
                          </w:p>
                          <w:p>
                            <w:pPr>
                              <w:pStyle w:val="TextBody"/>
                              <w:bidi w:val="0"/>
                              <w:spacing w:lineRule="auto" w:line="288" w:before="0" w:after="180"/>
                              <w:jc w:val="left"/>
                              <w:rPr/>
                            </w:pPr>
                            <w:hyperlink w:anchor="i8e13d1b6f3764394b0e424082d2ac79f_151">
                              <w:r>
                                <w:rPr>
                                  <w:rStyle w:val="InternetLink"/>
                                  <w:rFonts w:ascii="Times New Roman;serif" w:hAnsi="Times New Roman;serif"/>
                                  <w:b w:val="false"/>
                                  <w:color w:val="0000FF"/>
                                  <w:sz w:val="20"/>
                                  <w:u w:val="single"/>
                                </w:rPr>
                                <w:t>Table of Contents</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158</w:t>
                      </w:r>
                    </w:p>
                    <w:p>
                      <w:pPr>
                        <w:pStyle w:val="TextBody"/>
                        <w:bidi w:val="0"/>
                        <w:spacing w:lineRule="auto" w:line="288" w:before="0" w:after="180"/>
                        <w:jc w:val="left"/>
                        <w:rPr/>
                      </w:pPr>
                      <w:hyperlink w:anchor="i8e13d1b6f3764394b0e424082d2ac79f_151">
                        <w:r>
                          <w:rPr>
                            <w:rStyle w:val="InternetLink"/>
                            <w:rFonts w:ascii="Times New Roman;serif" w:hAnsi="Times New Roman;serif"/>
                            <w:b w:val="false"/>
                            <w:color w:val="0000FF"/>
                            <w:sz w:val="20"/>
                            <w:u w:val="single"/>
                          </w:rPr>
                          <w:t>Table of Contents</w:t>
                        </w:r>
                      </w:hyperlink>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FIGURE TECHNOLOGY SOLUTIONS,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tables in thousands, except share and per share data, units, ratios or as otherwise noted)</w:t>
      </w:r>
    </w:p>
    <w:p>
      <w:pPr>
        <w:pStyle w:val="TextBody"/>
        <w:bidi w:val="0"/>
        <w:spacing w:before="0" w:after="180"/>
        <w:jc w:val="center"/>
        <w:rPr/>
      </w:pPr>
      <w:r>
        <w:rPr/>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REIT Warehouse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In October 2024, the Company entered into a secured warehouse credit facility with a borrowing limit of $150.0 million.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August 2025, the Company amended the REIT Warehouse to increase the borrowing limit to $200.0 million, extend the maturity date to December 2026, and add an exit fee of 0.15% that is not to exceed $0.5 million in any calendar year. It also amended the interest rate to be SOFR plus a spread of (i) if the average daily aggregate outstanding purchase price for all purchased mortgage loans subject to outstanding transactions during such pricing rate period is greater than or equal to $100.0 million, 3.00% or (ii) if the average daily aggregate outstanding purchase price for all purchased mortgage loans subject to outstanding transactions during such pricing rate period is less than $100.0 million, 3.50%.</w:t>
      </w:r>
    </w:p>
    <w:p>
      <w:pPr>
        <w:pStyle w:val="TextBody"/>
        <w:bidi w:val="0"/>
        <w:spacing w:lineRule="auto" w:line="288" w:before="0" w:after="18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Warehouse Facility 10</w:t>
      </w:r>
    </w:p>
    <w:p>
      <w:pPr>
        <w:pStyle w:val="TextBody"/>
        <w:bidi w:val="0"/>
        <w:spacing w:lineRule="auto" w:line="288" w:before="0" w:after="18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April 2025, the Company entered into a master repurchase agreement with a major banking institution that contains customary debt covenants, a borrowing capacity of $300.0 million, including $1.0 million in committed capacity, and an initial maturity date in April 2026, with the option to renew at maturity. Borrowings under the facility bear interest at a rate of SOFR plus 2.35%.</w:t>
      </w:r>
    </w:p>
    <w:p>
      <w:pPr>
        <w:pStyle w:val="TextBody"/>
        <w:bidi w:val="0"/>
        <w:spacing w:lineRule="auto" w:line="288" w:before="0" w:after="18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Warehouse Facility 11</w:t>
      </w:r>
    </w:p>
    <w:p>
      <w:pPr>
        <w:pStyle w:val="TextBody"/>
        <w:bidi w:val="0"/>
        <w:spacing w:lineRule="auto" w:line="288" w:before="0" w:after="180"/>
        <w:jc w:val="both"/>
        <w:rPr/>
      </w:pPr>
      <w:r>
        <w:rPr>
          <w:rFonts w:ascii="Times New Roman;serif" w:hAnsi="Times New Roman;serif"/>
          <w:b w:val="false"/>
          <w:color w:val="000000"/>
          <w:sz w:val="20"/>
          <w:shd w:fill="FFFFFF" w:val="clear"/>
        </w:rPr>
        <w:t xml:space="preserve">In June 2025, the </w:t>
      </w:r>
      <w:r>
        <w:rPr>
          <w:rFonts w:ascii="Times New Roman;serif" w:hAnsi="Times New Roman;serif"/>
          <w:b w:val="false"/>
          <w:color w:val="000000"/>
          <w:sz w:val="20"/>
        </w:rPr>
        <w:t>Company</w:t>
      </w:r>
      <w:r>
        <w:rPr>
          <w:color w:val="000000"/>
          <w:shd w:fill="FFFFFF" w:val="clear"/>
        </w:rPr>
        <w:t xml:space="preserve"> </w:t>
      </w:r>
      <w:r>
        <w:rPr>
          <w:rFonts w:ascii="Times New Roman;serif" w:hAnsi="Times New Roman;serif"/>
          <w:b w:val="false"/>
          <w:color w:val="000000"/>
          <w:sz w:val="20"/>
          <w:shd w:fill="FFFFFF" w:val="clear"/>
        </w:rPr>
        <w:t>executed a master repurchase agreement with a major banking institution that had a facility limit up to $100.0 million, with the option to temporarily upsize to $200.0 million and has an initial maturity date in June 2027 with the option to renew at maturity. Borrowings under the facility bear interest at a rate of SOFR, subject to a floor of 2.0%, plus 1.75% that results in a minimum rate of 3.75%.</w:t>
      </w:r>
    </w:p>
    <w:p>
      <w:pPr>
        <w:pStyle w:val="TextBody"/>
        <w:bidi w:val="0"/>
        <w:spacing w:lineRule="auto" w:line="288" w:before="0" w:after="180"/>
        <w:jc w:val="both"/>
        <w:rPr/>
      </w:pPr>
      <w:r>
        <w:rPr>
          <w:rFonts w:ascii="Times New Roman;serif" w:hAnsi="Times New Roman;serif"/>
          <w:b w:val="false"/>
          <w:color w:val="000000"/>
          <w:sz w:val="20"/>
          <w:shd w:fill="FFFFFF" w:val="clear"/>
        </w:rPr>
        <w:t xml:space="preserve">In July 2025, the </w:t>
      </w:r>
      <w:r>
        <w:rPr>
          <w:rFonts w:ascii="Times New Roman;serif" w:hAnsi="Times New Roman;serif"/>
          <w:b w:val="false"/>
          <w:color w:val="000000"/>
          <w:sz w:val="20"/>
        </w:rPr>
        <w:t xml:space="preserve">Company amended </w:t>
      </w:r>
      <w:r>
        <w:rPr>
          <w:rFonts w:ascii="Times New Roman;serif" w:hAnsi="Times New Roman;serif"/>
          <w:b w:val="false"/>
          <w:color w:val="000000"/>
          <w:sz w:val="20"/>
          <w:shd w:fill="FFFFFF" w:val="clear"/>
        </w:rPr>
        <w:t xml:space="preserve">Warehouse Facility 11 to permanently increase the facility limit to $200.0 million. In December 2025, the </w:t>
      </w:r>
      <w:r>
        <w:rPr>
          <w:rFonts w:ascii="Times New Roman;serif" w:hAnsi="Times New Roman;serif"/>
          <w:b w:val="false"/>
          <w:color w:val="000000"/>
          <w:sz w:val="20"/>
        </w:rPr>
        <w:t>Company</w:t>
      </w:r>
      <w:r>
        <w:rPr>
          <w:color w:val="000000"/>
          <w:shd w:fill="FFFFFF" w:val="clear"/>
        </w:rPr>
        <w:t xml:space="preserve"> </w:t>
      </w:r>
      <w:r>
        <w:rPr>
          <w:rFonts w:ascii="Times New Roman;serif" w:hAnsi="Times New Roman;serif"/>
          <w:b w:val="false"/>
          <w:color w:val="000000"/>
          <w:sz w:val="20"/>
          <w:shd w:fill="FFFFFF" w:val="clear"/>
        </w:rPr>
        <w:t>amended Warehouse Facility 11 to increase the facility limit to $300.0 million.</w:t>
      </w:r>
    </w:p>
    <w:p>
      <w:pPr>
        <w:pStyle w:val="TextBody"/>
        <w:bidi w:val="0"/>
        <w:spacing w:lineRule="auto" w:line="288" w:before="0" w:after="18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Digital Asset Loan Facility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April 2025, the Company executed a master participation agreement with an asset management firm that allows the Company to grant 100% participation interest for digital asset backed loans it owns. The $30.0 million facility, with the ability to increase to a maximum facility size of $50.0 million, matures in October 2026, bears interest at a rate of 13.5%, and has a purchase period through April 2026.</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MSR Note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June 2024, the Company entered into a loan and security agreement with Lender 1 under which the Company borrowed the MSR Note that had an initial borrowing limit of $30.0 million. In September 2024, the Company and Lender 1 amended the MSR Note to increase the borrowing limit to $40.0 million.</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Retained Interest Facility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amended the Retained Interest Facility to increase the borrowing limit from $250.0 million to $500.0 million, effective as of October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293370"/>
                <wp:effectExtent l="0" t="0" r="0" b="0"/>
                <wp:wrapNone/>
                <wp:docPr id="161" name="Frame159"/>
                <a:graphic xmlns:a="http://schemas.openxmlformats.org/drawingml/2006/main">
                  <a:graphicData uri="http://schemas.microsoft.com/office/word/2010/wordprocessingShape">
                    <wps:wsp>
                      <wps:cNvSpPr txBox="1"/>
                      <wps:spPr>
                        <a:xfrm>
                          <a:off x="0" y="0"/>
                          <a:ext cx="6480175" cy="293370"/>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159</w:t>
                            </w:r>
                          </w:p>
                          <w:p>
                            <w:pPr>
                              <w:pStyle w:val="TextBody"/>
                              <w:bidi w:val="0"/>
                              <w:spacing w:lineRule="auto" w:line="288" w:before="0" w:after="180"/>
                              <w:jc w:val="left"/>
                              <w:rPr/>
                            </w:pPr>
                            <w:hyperlink w:anchor="i8e13d1b6f3764394b0e424082d2ac79f_151">
                              <w:r>
                                <w:rPr>
                                  <w:rStyle w:val="InternetLink"/>
                                  <w:rFonts w:ascii="Times New Roman;serif" w:hAnsi="Times New Roman;serif"/>
                                  <w:b w:val="false"/>
                                  <w:color w:val="0000FF"/>
                                  <w:sz w:val="20"/>
                                  <w:u w:val="single"/>
                                </w:rPr>
                                <w:t>Table of Contents</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159</w:t>
                      </w:r>
                    </w:p>
                    <w:p>
                      <w:pPr>
                        <w:pStyle w:val="TextBody"/>
                        <w:bidi w:val="0"/>
                        <w:spacing w:lineRule="auto" w:line="288" w:before="0" w:after="180"/>
                        <w:jc w:val="left"/>
                        <w:rPr/>
                      </w:pPr>
                      <w:hyperlink w:anchor="i8e13d1b6f3764394b0e424082d2ac79f_151">
                        <w:r>
                          <w:rPr>
                            <w:rStyle w:val="InternetLink"/>
                            <w:rFonts w:ascii="Times New Roman;serif" w:hAnsi="Times New Roman;serif"/>
                            <w:b w:val="false"/>
                            <w:color w:val="0000FF"/>
                            <w:sz w:val="20"/>
                            <w:u w:val="single"/>
                          </w:rPr>
                          <w:t>Table of Contents</w:t>
                        </w:r>
                      </w:hyperlink>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FIGURE TECHNOLOGY SOLUTIONS,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tables in thousands, except share and per share data, units, ratios or as otherwise noted)</w:t>
      </w:r>
    </w:p>
    <w:p>
      <w:pPr>
        <w:pStyle w:val="TextBody"/>
        <w:bidi w:val="0"/>
        <w:spacing w:before="0" w:after="180"/>
        <w:jc w:val="center"/>
        <w:rPr/>
      </w:pPr>
      <w:r>
        <w:rPr/>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FCC</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At December 31, 2025, FCC had $76.1 million and $2.1 million outstanding face-amount certificates to third parties and related parties, respectively, redeemable upon redemption of YLDS. The certificates entitle the certificate owner to receive, at certificate maturity, a stated amount of money, interest, or credits declared from time to time by FCC, at its discretion. The certificates issued by FCC are not insured by any government agency or other entity. </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Democratized Prime YLDS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At December 31, 2025, FCC had $24.4 million and $164.1 million outstanding face-amount certificates to third parties and related parties, respectively, redeemable upon redemption of YLDS. Democratized Prime YLDS represents liabilities where parties have lent YLDS to the Company through the Democratized Prime platform. The Company pays interest based on a rate agreed upon through a Dutch auction process defined within the pool and can be redeemed each hour for YLDS. The YLDS are collateralized by pools of HELOC loans and are not insured by any government agency or other entity.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NOTE 7 – EQUITY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On September 12, 2025, the Company completed its IPO, in which 36,225,000 shares of the Company’s Class A common stock were issued and sold, including the underwriters’ over-allotment option which was exercised in full, at a public offering price of $25.00 per share.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Charter authorizes a total of 1,000,000,000 shares of Class A common stock, par value $0.0001, 200,000,000 shares of Class B common stock, par value, $0.0001, 500,000,000 shares of Blockchain common stock, par value, $0.0001, and 100,000,000 shares of preferred stock, par value $0.0001. In connection with the IPO, all shares of outstanding convertible preferred stock automatically converted into a total of 113,910,905 shares of Class A common stock. Additionally, a total of 39,393,047 shares of Class A common stock held by the Controlling Party and his permitted transferees were converted into an equivalent number of shares of Class B common stock; 1,500,000 shares of Class B common stock were subsequently converted back to Class A common stock and sold as part of the IPO. The holders of Class A common stock are entitled to one vote for each share of common stock held. The holders of Class B common stock are entitled to ten votes for each share of common stock held. For periods prior to the IPO, references to ‘common stock’ refer to the single class of common stock outstanding prior to the IPO.</w: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equity instruments at December 31, 2025 and 2024:</w:t>
      </w:r>
    </w:p>
    <w:tbl>
      <w:tblPr>
        <w:tblW w:w="10205" w:type="dxa"/>
        <w:jc w:val="left"/>
        <w:tblInd w:w="0" w:type="dxa"/>
        <w:tblLayout w:type="fixed"/>
        <w:tblCellMar>
          <w:top w:w="28" w:type="dxa"/>
          <w:left w:w="28" w:type="dxa"/>
          <w:bottom w:w="28" w:type="dxa"/>
          <w:right w:w="28" w:type="dxa"/>
        </w:tblCellMar>
      </w:tblPr>
      <w:tblGrid>
        <w:gridCol w:w="763"/>
        <w:gridCol w:w="570"/>
        <w:gridCol w:w="572"/>
        <w:gridCol w:w="593"/>
        <w:gridCol w:w="593"/>
        <w:gridCol w:w="358"/>
        <w:gridCol w:w="109"/>
        <w:gridCol w:w="109"/>
        <w:gridCol w:w="109"/>
        <w:gridCol w:w="733"/>
        <w:gridCol w:w="466"/>
        <w:gridCol w:w="467"/>
        <w:gridCol w:w="109"/>
        <w:gridCol w:w="109"/>
        <w:gridCol w:w="109"/>
        <w:gridCol w:w="435"/>
        <w:gridCol w:w="436"/>
        <w:gridCol w:w="271"/>
        <w:gridCol w:w="118"/>
        <w:gridCol w:w="118"/>
        <w:gridCol w:w="118"/>
        <w:gridCol w:w="480"/>
        <w:gridCol w:w="481"/>
        <w:gridCol w:w="226"/>
        <w:gridCol w:w="118"/>
        <w:gridCol w:w="118"/>
        <w:gridCol w:w="118"/>
        <w:gridCol w:w="479"/>
        <w:gridCol w:w="482"/>
        <w:gridCol w:w="166"/>
        <w:gridCol w:w="109"/>
        <w:gridCol w:w="163"/>
      </w:tblGrid>
      <w:tr>
        <w:trPr/>
        <w:tc>
          <w:tcPr>
            <w:tcW w:w="763"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05"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8"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272" w:type="dxa"/>
            <w:gridSpan w:val="2"/>
            <w:tcBorders/>
          </w:tcPr>
          <w:p>
            <w:pPr>
              <w:pStyle w:val="TableContents"/>
              <w:bidi w:val="0"/>
              <w:spacing w:before="0" w:after="283"/>
              <w:jc w:val="left"/>
              <w:rPr>
                <w:sz w:val="4"/>
                <w:szCs w:val="4"/>
              </w:rPr>
            </w:pPr>
            <w:r>
              <w:rPr>
                <w:sz w:val="4"/>
                <w:szCs w:val="4"/>
              </w:rPr>
            </w:r>
          </w:p>
        </w:tc>
      </w:tr>
      <w:tr>
        <w:trPr/>
        <w:tc>
          <w:tcPr>
            <w:tcW w:w="1905" w:type="dxa"/>
            <w:gridSpan w:val="3"/>
            <w:vMerge w:val="continue"/>
            <w:tcBorders/>
            <w:tcMar>
              <w:top w:w="0" w:type="dxa"/>
              <w:left w:w="0" w:type="dxa"/>
              <w:bottom w:w="0" w:type="dxa"/>
              <w:right w:w="0" w:type="dxa"/>
            </w:tcMar>
            <w:vAlign w:val="center"/>
          </w:tcPr>
          <w:p>
            <w:pPr>
              <w:pStyle w:val="Normal"/>
              <w:bidi w:val="0"/>
              <w:jc w:val="left"/>
              <w:rPr/>
            </w:pPr>
            <w:r>
              <w:rPr/>
            </w:r>
          </w:p>
        </w:tc>
        <w:tc>
          <w:tcPr>
            <w:tcW w:w="1544"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Authorized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Issued and Outstanding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4"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Potential Common Shares</w:t>
            </w:r>
            <w:r>
              <w:rPr>
                <w:rFonts w:ascii="Times New Roman;serif" w:hAnsi="Times New Roman;serif"/>
                <w:b/>
                <w:color w:val="000000"/>
                <w:sz w:val="10"/>
              </w:rPr>
              <w:t>(A)</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05" w:type="dxa"/>
            <w:gridSpan w:val="3"/>
            <w:vMerge w:val="continue"/>
            <w:tcBorders/>
            <w:tcMar>
              <w:top w:w="0" w:type="dxa"/>
              <w:left w:w="0" w:type="dxa"/>
              <w:bottom w:w="0" w:type="dxa"/>
              <w:right w:w="0" w:type="dxa"/>
            </w:tcMar>
            <w:vAlign w:val="center"/>
          </w:tcPr>
          <w:p>
            <w:pPr>
              <w:pStyle w:val="Normal"/>
              <w:bidi w:val="0"/>
              <w:jc w:val="left"/>
              <w:rPr/>
            </w:pPr>
            <w:r>
              <w:rPr/>
            </w:r>
          </w:p>
        </w:tc>
        <w:tc>
          <w:tcPr>
            <w:tcW w:w="1544"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Warrants</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Options</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RSUs</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Class A Common Stock, $0.0001 par value per share</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1,000,000,000 </w:t>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178,485,407 </w:t>
            </w:r>
          </w:p>
        </w:tc>
        <w:tc>
          <w:tcPr>
            <w:tcW w:w="4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183,333 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25,741,803 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4,974,764 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Class B Commons Stock, $0.0001 par value per share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200,000,000 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37,893,047 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7,760,846 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5,134,845 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Blockchain Common Stock, $0.0001 par value per share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500,000,000 </w:t>
            </w:r>
          </w:p>
        </w:tc>
        <w:tc>
          <w:tcPr>
            <w:tcW w:w="3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Preferred Stock, $0.0001 par value per share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100,000,000 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1,800,000,000 </w:t>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216,378,454 </w:t>
            </w:r>
          </w:p>
        </w:tc>
        <w:tc>
          <w:tcPr>
            <w:tcW w:w="4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183,333 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33,502,649 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10,109,609 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05"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8"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c>
          <w:tcPr>
            <w:tcW w:w="272" w:type="dxa"/>
            <w:gridSpan w:val="2"/>
            <w:tcBorders/>
          </w:tcPr>
          <w:p>
            <w:pPr>
              <w:pStyle w:val="TableContents"/>
              <w:bidi w:val="0"/>
              <w:spacing w:before="0" w:after="283"/>
              <w:jc w:val="left"/>
              <w:rPr>
                <w:sz w:val="4"/>
                <w:szCs w:val="4"/>
              </w:rPr>
            </w:pPr>
            <w:r>
              <w:rPr>
                <w:sz w:val="4"/>
                <w:szCs w:val="4"/>
              </w:rPr>
            </w:r>
          </w:p>
        </w:tc>
      </w:tr>
      <w:tr>
        <w:trPr/>
        <w:tc>
          <w:tcPr>
            <w:tcW w:w="1905" w:type="dxa"/>
            <w:gridSpan w:val="3"/>
            <w:vMerge w:val="continue"/>
            <w:tcBorders/>
            <w:tcMar>
              <w:top w:w="0" w:type="dxa"/>
              <w:left w:w="0" w:type="dxa"/>
              <w:bottom w:w="0" w:type="dxa"/>
              <w:right w:w="0" w:type="dxa"/>
            </w:tcMar>
            <w:vAlign w:val="center"/>
          </w:tcPr>
          <w:p>
            <w:pPr>
              <w:pStyle w:val="Normal"/>
              <w:bidi w:val="0"/>
              <w:jc w:val="left"/>
              <w:rPr/>
            </w:pPr>
            <w:r>
              <w:rPr/>
            </w:r>
          </w:p>
        </w:tc>
        <w:tc>
          <w:tcPr>
            <w:tcW w:w="1544"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Authorized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Issued and Outstanding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4"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Potential Common Shares</w:t>
            </w:r>
            <w:r>
              <w:rPr>
                <w:rFonts w:ascii="Times New Roman;serif" w:hAnsi="Times New Roman;serif"/>
                <w:b/>
                <w:color w:val="000000"/>
                <w:sz w:val="10"/>
              </w:rPr>
              <w:t>(A)</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05" w:type="dxa"/>
            <w:gridSpan w:val="3"/>
            <w:vMerge w:val="continue"/>
            <w:tcBorders/>
            <w:tcMar>
              <w:top w:w="0" w:type="dxa"/>
              <w:left w:w="0" w:type="dxa"/>
              <w:bottom w:w="0" w:type="dxa"/>
              <w:right w:w="0" w:type="dxa"/>
            </w:tcMar>
            <w:vAlign w:val="center"/>
          </w:tcPr>
          <w:p>
            <w:pPr>
              <w:pStyle w:val="Normal"/>
              <w:bidi w:val="0"/>
              <w:jc w:val="left"/>
              <w:rPr/>
            </w:pPr>
            <w:r>
              <w:rPr/>
            </w:r>
          </w:p>
        </w:tc>
        <w:tc>
          <w:tcPr>
            <w:tcW w:w="1544"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Warrants</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Options</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RSUs</w:t>
            </w:r>
            <w:r>
              <w:rPr>
                <w:rFonts w:ascii="Times New Roman;serif" w:hAnsi="Times New Roman;serif"/>
                <w:b/>
                <w:color w:val="000000"/>
                <w:sz w:val="10"/>
              </w:rPr>
              <w:t>(B)</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Common Stock, $0.00001 par value per share</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240,820,153 </w:t>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69,300,284 </w:t>
            </w:r>
          </w:p>
        </w:tc>
        <w:tc>
          <w:tcPr>
            <w:tcW w:w="4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32,030,416 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5,874,850 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Convertible Preferred Stock, $0.00001 par value per share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115,983,447 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111,900,495 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1,381,486 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11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356,803,600 </w:t>
            </w:r>
          </w:p>
        </w:tc>
        <w:tc>
          <w:tcPr>
            <w:tcW w:w="3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181,200,779 </w:t>
            </w:r>
          </w:p>
        </w:tc>
        <w:tc>
          <w:tcPr>
            <w:tcW w:w="4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1,381,486 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32,030,416 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5,874,850 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
        <w:ind w:left="0" w:right="0" w:hanging="180"/>
        <w:jc w:val="both"/>
        <w:rPr/>
      </w:pPr>
      <w:r>
        <w:rPr>
          <w:rFonts w:ascii="Times New Roman;serif" w:hAnsi="Times New Roman;serif"/>
          <w:b w:val="false"/>
          <w:color w:val="000000"/>
          <w:sz w:val="10"/>
        </w:rPr>
        <w:t>(A)</w:t>
      </w:r>
      <w:r>
        <w:rPr>
          <w:color w:val="000000"/>
        </w:rPr>
        <w:t>    </w:t>
      </w:r>
      <w:r>
        <w:rPr>
          <w:rFonts w:ascii="Times New Roman;serif" w:hAnsi="Times New Roman;serif"/>
          <w:b w:val="false"/>
          <w:color w:val="000000"/>
          <w:sz w:val="16"/>
        </w:rPr>
        <w:t>Includes the equity instruments of the 2018 Equity Incentive Plan, the 2024 Equity Incentive Plan, and the 2025 Incentive Award Plan.</w:t>
      </w:r>
    </w:p>
    <w:p>
      <w:pPr>
        <w:pStyle w:val="TextBody"/>
        <w:bidi w:val="0"/>
        <w:spacing w:lineRule="auto" w:line="288" w:before="0" w:after="180"/>
        <w:ind w:left="0" w:right="0" w:hanging="180"/>
        <w:jc w:val="both"/>
        <w:rPr/>
      </w:pPr>
      <w:r>
        <w:rPr>
          <w:rFonts w:ascii="Times New Roman;serif" w:hAnsi="Times New Roman;serif"/>
          <w:b w:val="false"/>
          <w:color w:val="000000"/>
          <w:sz w:val="10"/>
        </w:rPr>
        <w:t>(B)</w:t>
      </w:r>
      <w:r>
        <w:rPr>
          <w:color w:val="000000"/>
        </w:rPr>
        <w:t>    </w:t>
      </w:r>
      <w:r>
        <w:rPr>
          <w:rFonts w:ascii="Times New Roman;serif" w:hAnsi="Times New Roman;serif"/>
          <w:b w:val="false"/>
          <w:color w:val="000000"/>
          <w:sz w:val="16"/>
        </w:rPr>
        <w:t>RSUs at December 31, 2024 have been corrected, which resulted in a decrease of 39,098,606 potential common shares disclosed as of December 31,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293370"/>
                <wp:effectExtent l="0" t="0" r="0" b="0"/>
                <wp:wrapNone/>
                <wp:docPr id="162" name="Frame160"/>
                <a:graphic xmlns:a="http://schemas.openxmlformats.org/drawingml/2006/main">
                  <a:graphicData uri="http://schemas.microsoft.com/office/word/2010/wordprocessingShape">
                    <wps:wsp>
                      <wps:cNvSpPr txBox="1"/>
                      <wps:spPr>
                        <a:xfrm>
                          <a:off x="0" y="0"/>
                          <a:ext cx="6480175" cy="293370"/>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160</w:t>
                            </w:r>
                          </w:p>
                          <w:p>
                            <w:pPr>
                              <w:pStyle w:val="TextBody"/>
                              <w:bidi w:val="0"/>
                              <w:spacing w:lineRule="auto" w:line="288" w:before="0" w:after="180"/>
                              <w:jc w:val="left"/>
                              <w:rPr/>
                            </w:pPr>
                            <w:hyperlink w:anchor="i8e13d1b6f3764394b0e424082d2ac79f_151">
                              <w:r>
                                <w:rPr>
                                  <w:rStyle w:val="InternetLink"/>
                                  <w:rFonts w:ascii="Times New Roman;serif" w:hAnsi="Times New Roman;serif"/>
                                  <w:b w:val="false"/>
                                  <w:color w:val="0000FF"/>
                                  <w:sz w:val="20"/>
                                  <w:u w:val="single"/>
                                </w:rPr>
                                <w:t>Table of Contents</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160</w:t>
                      </w:r>
                    </w:p>
                    <w:p>
                      <w:pPr>
                        <w:pStyle w:val="TextBody"/>
                        <w:bidi w:val="0"/>
                        <w:spacing w:lineRule="auto" w:line="288" w:before="0" w:after="180"/>
                        <w:jc w:val="left"/>
                        <w:rPr/>
                      </w:pPr>
                      <w:hyperlink w:anchor="i8e13d1b6f3764394b0e424082d2ac79f_151">
                        <w:r>
                          <w:rPr>
                            <w:rStyle w:val="InternetLink"/>
                            <w:rFonts w:ascii="Times New Roman;serif" w:hAnsi="Times New Roman;serif"/>
                            <w:b w:val="false"/>
                            <w:color w:val="0000FF"/>
                            <w:sz w:val="20"/>
                            <w:u w:val="single"/>
                          </w:rPr>
                          <w:t>Table of Contents</w:t>
                        </w:r>
                      </w:hyperlink>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FIGURE TECHNOLOGY SOLUTIONS,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tables in thousands, except share and per share data, units, ratios or as otherwise noted)</w:t>
      </w:r>
    </w:p>
    <w:p>
      <w:pPr>
        <w:pStyle w:val="TextBody"/>
        <w:bidi w:val="0"/>
        <w:spacing w:before="0" w:after="180"/>
        <w:jc w:val="center"/>
        <w:rPr/>
      </w:pPr>
      <w:r>
        <w:rPr/>
      </w:r>
    </w:p>
    <w:p>
      <w:pPr>
        <w:pStyle w:val="TextBody"/>
        <w:bidi w:val="0"/>
        <w:spacing w:lineRule="auto" w:line="288" w:before="0" w:after="180"/>
        <w:jc w:val="both"/>
        <w:rPr/>
      </w:pPr>
      <w:r>
        <w:rPr>
          <w:rFonts w:ascii="Times New Roman;serif" w:hAnsi="Times New Roman;serif"/>
          <w:b w:val="false"/>
          <w:color w:val="000000"/>
          <w:sz w:val="20"/>
        </w:rPr>
        <w:t xml:space="preserve">In connection with the IPO, all outstanding shares of convertible preferred stock were converted into shares of Class A common stock on a one-to-one basis as of the date of the IPO. </w:t>
      </w:r>
      <w:r>
        <w:rPr>
          <w:rFonts w:ascii="Times New Roman;serif" w:hAnsi="Times New Roman;serif"/>
          <w:b w:val="false"/>
          <w:color w:val="000000"/>
          <w:sz w:val="20"/>
          <w:shd w:fill="FFFFFF" w:val="clear"/>
        </w:rPr>
        <w:t>As such, there are no shares of preferred stock issued and outstanding as of December 31, 2025.</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includes information regarding each series of convertible preferred stock as of December 31, 2024:</w:t>
      </w:r>
    </w:p>
    <w:tbl>
      <w:tblPr>
        <w:tblW w:w="10205" w:type="dxa"/>
        <w:jc w:val="left"/>
        <w:tblInd w:w="0" w:type="dxa"/>
        <w:tblLayout w:type="fixed"/>
        <w:tblCellMar>
          <w:top w:w="28" w:type="dxa"/>
          <w:left w:w="28" w:type="dxa"/>
          <w:bottom w:w="28" w:type="dxa"/>
          <w:right w:w="28" w:type="dxa"/>
        </w:tblCellMar>
      </w:tblPr>
      <w:tblGrid>
        <w:gridCol w:w="323"/>
        <w:gridCol w:w="285"/>
        <w:gridCol w:w="288"/>
        <w:gridCol w:w="783"/>
        <w:gridCol w:w="780"/>
        <w:gridCol w:w="782"/>
        <w:gridCol w:w="109"/>
        <w:gridCol w:w="109"/>
        <w:gridCol w:w="109"/>
        <w:gridCol w:w="331"/>
        <w:gridCol w:w="1248"/>
        <w:gridCol w:w="184"/>
        <w:gridCol w:w="109"/>
        <w:gridCol w:w="109"/>
        <w:gridCol w:w="109"/>
        <w:gridCol w:w="345"/>
        <w:gridCol w:w="822"/>
        <w:gridCol w:w="193"/>
        <w:gridCol w:w="109"/>
        <w:gridCol w:w="109"/>
        <w:gridCol w:w="109"/>
        <w:gridCol w:w="289"/>
        <w:gridCol w:w="687"/>
        <w:gridCol w:w="160"/>
        <w:gridCol w:w="109"/>
        <w:gridCol w:w="109"/>
        <w:gridCol w:w="109"/>
        <w:gridCol w:w="333"/>
        <w:gridCol w:w="794"/>
        <w:gridCol w:w="270"/>
      </w:tblGrid>
      <w:tr>
        <w:trPr/>
        <w:tc>
          <w:tcPr>
            <w:tcW w:w="323"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r>
      <w:tr>
        <w:trPr/>
        <w:tc>
          <w:tcPr>
            <w:tcW w:w="8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 Share</w:t>
            </w:r>
          </w:p>
        </w:tc>
      </w:tr>
      <w:tr>
        <w:trPr/>
        <w:tc>
          <w:tcPr>
            <w:tcW w:w="8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Shares Outstanding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Liquidation Preference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Liquidation Price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Dividend 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Conversion Price</w:t>
            </w:r>
          </w:p>
        </w:tc>
      </w:tr>
      <w:tr>
        <w:trPr/>
        <w:tc>
          <w:tcPr>
            <w:tcW w:w="8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Series Seed</w:t>
            </w:r>
          </w:p>
        </w:tc>
        <w:tc>
          <w:tcPr>
            <w:tcW w:w="15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16,100,540 </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16,947 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0.08 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1.05 </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8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Series A</w:t>
            </w:r>
          </w:p>
        </w:tc>
        <w:tc>
          <w:tcPr>
            <w:tcW w:w="15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32,860,461 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41,759 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1.27 </w:t>
            </w:r>
          </w:p>
        </w:tc>
        <w:tc>
          <w:tcPr>
            <w:tcW w:w="27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8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Series B</w:t>
            </w:r>
          </w:p>
        </w:tc>
        <w:tc>
          <w:tcPr>
            <w:tcW w:w="15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29,448,787 </w:t>
            </w:r>
          </w:p>
        </w:tc>
        <w:tc>
          <w:tcPr>
            <w:tcW w:w="7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73,519 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2.50 </w:t>
            </w:r>
          </w:p>
        </w:tc>
        <w:tc>
          <w:tcPr>
            <w:tcW w:w="27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8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Series C</w:t>
            </w:r>
          </w:p>
        </w:tc>
        <w:tc>
          <w:tcPr>
            <w:tcW w:w="15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11,238,629 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85,000 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7.56 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7.56 </w:t>
            </w:r>
          </w:p>
        </w:tc>
        <w:tc>
          <w:tcPr>
            <w:tcW w:w="27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8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Series C-1</w:t>
            </w:r>
          </w:p>
        </w:tc>
        <w:tc>
          <w:tcPr>
            <w:tcW w:w="15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504,081 </w:t>
            </w:r>
          </w:p>
        </w:tc>
        <w:tc>
          <w:tcPr>
            <w:tcW w:w="7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3,050 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6.05 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6.05 </w:t>
            </w:r>
          </w:p>
        </w:tc>
        <w:tc>
          <w:tcPr>
            <w:tcW w:w="27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8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Series C-2</w:t>
            </w:r>
          </w:p>
        </w:tc>
        <w:tc>
          <w:tcPr>
            <w:tcW w:w="15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1,983,287 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15,000 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7.56 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7.56 </w:t>
            </w:r>
          </w:p>
        </w:tc>
        <w:tc>
          <w:tcPr>
            <w:tcW w:w="27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8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Series D</w:t>
            </w:r>
          </w:p>
        </w:tc>
        <w:tc>
          <w:tcPr>
            <w:tcW w:w="15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12,439,325 </w:t>
            </w:r>
          </w:p>
        </w:tc>
        <w:tc>
          <w:tcPr>
            <w:tcW w:w="7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219,999 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17.69 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17.69 </w:t>
            </w:r>
          </w:p>
        </w:tc>
        <w:tc>
          <w:tcPr>
            <w:tcW w:w="27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8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Series E</w:t>
            </w:r>
          </w:p>
        </w:tc>
        <w:tc>
          <w:tcPr>
            <w:tcW w:w="15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7,325,385 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73,292 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10.01 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10.01 </w:t>
            </w:r>
          </w:p>
        </w:tc>
        <w:tc>
          <w:tcPr>
            <w:tcW w:w="27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8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1563"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111,900,495 </w:t>
            </w:r>
          </w:p>
        </w:tc>
        <w:tc>
          <w:tcPr>
            <w:tcW w:w="7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528,566 </w:t>
            </w:r>
          </w:p>
        </w:tc>
        <w:tc>
          <w:tcPr>
            <w:tcW w:w="1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Warrants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In March 2024, the Company issued warrants to purchase up to 411,219, 411,219, and 1,644,881 Series E convertible preferred shares to an existing convertible preferred shareholder in exchange for a software license, one year of software development services, and up to two years of other services, respectively, for a total of 2,467,319 shares. All of the warrants have been earned as of December 31, 2025 and upon consummation of the IPO became convertible into Class A common stock. As of December 31, 2025, 2,283,986 warrants have been exercised at an exercise price of $3.23 per share. The remaining 183,333 shares under the warrant agreement may be exercised at an exercise price of $3.23 per Class A common stock within a five-year period after issuance.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During the years ended December 31, 2025 and 2024, the Company recognized equity-based expense within “Technology and product development” in the Consolidated Statements of Operations of $9.5 million and $6.6 million, respectively, related to the warrants.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293370"/>
                <wp:effectExtent l="0" t="0" r="0" b="0"/>
                <wp:wrapNone/>
                <wp:docPr id="163" name="Frame161"/>
                <a:graphic xmlns:a="http://schemas.openxmlformats.org/drawingml/2006/main">
                  <a:graphicData uri="http://schemas.microsoft.com/office/word/2010/wordprocessingShape">
                    <wps:wsp>
                      <wps:cNvSpPr txBox="1"/>
                      <wps:spPr>
                        <a:xfrm>
                          <a:off x="0" y="0"/>
                          <a:ext cx="6480175" cy="293370"/>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161</w:t>
                            </w:r>
                          </w:p>
                          <w:p>
                            <w:pPr>
                              <w:pStyle w:val="TextBody"/>
                              <w:bidi w:val="0"/>
                              <w:spacing w:lineRule="auto" w:line="288" w:before="0" w:after="180"/>
                              <w:jc w:val="left"/>
                              <w:rPr/>
                            </w:pPr>
                            <w:hyperlink w:anchor="i8e13d1b6f3764394b0e424082d2ac79f_151">
                              <w:r>
                                <w:rPr>
                                  <w:rStyle w:val="InternetLink"/>
                                  <w:rFonts w:ascii="Times New Roman;serif" w:hAnsi="Times New Roman;serif"/>
                                  <w:b w:val="false"/>
                                  <w:color w:val="0000FF"/>
                                  <w:sz w:val="20"/>
                                  <w:u w:val="single"/>
                                </w:rPr>
                                <w:t>Table of Contents</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161</w:t>
                      </w:r>
                    </w:p>
                    <w:p>
                      <w:pPr>
                        <w:pStyle w:val="TextBody"/>
                        <w:bidi w:val="0"/>
                        <w:spacing w:lineRule="auto" w:line="288" w:before="0" w:after="180"/>
                        <w:jc w:val="left"/>
                        <w:rPr/>
                      </w:pPr>
                      <w:hyperlink w:anchor="i8e13d1b6f3764394b0e424082d2ac79f_151">
                        <w:r>
                          <w:rPr>
                            <w:rStyle w:val="InternetLink"/>
                            <w:rFonts w:ascii="Times New Roman;serif" w:hAnsi="Times New Roman;serif"/>
                            <w:b w:val="false"/>
                            <w:color w:val="0000FF"/>
                            <w:sz w:val="20"/>
                            <w:u w:val="single"/>
                          </w:rPr>
                          <w:t>Table of Contents</w:t>
                        </w:r>
                      </w:hyperlink>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FIGURE TECHNOLOGY SOLUTIONS,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tables in thousands, except share and per share data, units, ratios or as otherwise noted)</w:t>
      </w:r>
    </w:p>
    <w:p>
      <w:pPr>
        <w:pStyle w:val="TextBody"/>
        <w:bidi w:val="0"/>
        <w:spacing w:before="0" w:after="180"/>
        <w:jc w:val="center"/>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warrants were valued at the grant date using the Black-Scholes option pricing model with the following assumptions:</w:t>
      </w:r>
    </w:p>
    <w:tbl>
      <w:tblPr>
        <w:tblW w:w="5368" w:type="dxa"/>
        <w:jc w:val="left"/>
        <w:tblInd w:w="0" w:type="dxa"/>
        <w:tblLayout w:type="fixed"/>
        <w:tblCellMar>
          <w:top w:w="28" w:type="dxa"/>
          <w:left w:w="28" w:type="dxa"/>
          <w:bottom w:w="28" w:type="dxa"/>
          <w:right w:w="28" w:type="dxa"/>
        </w:tblCellMar>
      </w:tblPr>
      <w:tblGrid>
        <w:gridCol w:w="618"/>
        <w:gridCol w:w="545"/>
        <w:gridCol w:w="547"/>
        <w:gridCol w:w="210"/>
        <w:gridCol w:w="211"/>
        <w:gridCol w:w="280"/>
        <w:gridCol w:w="126"/>
        <w:gridCol w:w="126"/>
        <w:gridCol w:w="126"/>
        <w:gridCol w:w="217"/>
        <w:gridCol w:w="204"/>
        <w:gridCol w:w="280"/>
        <w:gridCol w:w="126"/>
        <w:gridCol w:w="126"/>
        <w:gridCol w:w="126"/>
        <w:gridCol w:w="403"/>
        <w:gridCol w:w="403"/>
        <w:gridCol w:w="694"/>
      </w:tblGrid>
      <w:tr>
        <w:trPr/>
        <w:tc>
          <w:tcPr>
            <w:tcW w:w="618"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r>
      <w:tr>
        <w:trPr/>
        <w:tc>
          <w:tcPr>
            <w:tcW w:w="1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 2025</w:t>
            </w:r>
          </w:p>
        </w:tc>
      </w:tr>
      <w:tr>
        <w:trPr/>
        <w:tc>
          <w:tcPr>
            <w:tcW w:w="1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Low</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High</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Weighted Average</w:t>
            </w:r>
          </w:p>
        </w:tc>
      </w:tr>
      <w:tr>
        <w:trPr/>
        <w:tc>
          <w:tcPr>
            <w:tcW w:w="1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Expected Term (years)</w:t>
            </w:r>
          </w:p>
        </w:tc>
        <w:tc>
          <w:tcPr>
            <w:tcW w:w="7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16"/>
              </w:rPr>
            </w:pPr>
            <w:r>
              <w:rPr>
                <w:rFonts w:ascii="Times New Roman;serif" w:hAnsi="Times New Roman;serif"/>
                <w:b w:val="false"/>
                <w:color w:val="000000"/>
                <w:sz w:val="16"/>
              </w:rPr>
              <w:t>2.7</w:t>
            </w:r>
          </w:p>
        </w:tc>
      </w:tr>
      <w:tr>
        <w:trPr/>
        <w:tc>
          <w:tcPr>
            <w:tcW w:w="1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Volatility</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39.9</w:t>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46.2</w:t>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41.9</w:t>
            </w:r>
          </w:p>
        </w:tc>
        <w:tc>
          <w:tcPr>
            <w:tcW w:w="694"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Rate</w:t>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w:t>
            </w:r>
          </w:p>
        </w:tc>
        <w:tc>
          <w:tcPr>
            <w:tcW w:w="2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w:t>
            </w:r>
          </w:p>
        </w:tc>
        <w:tc>
          <w:tcPr>
            <w:tcW w:w="2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w:t>
            </w:r>
          </w:p>
        </w:tc>
        <w:tc>
          <w:tcPr>
            <w:tcW w:w="694"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Dividend Yield</w:t>
            </w:r>
          </w:p>
        </w:tc>
        <w:tc>
          <w:tcPr>
            <w:tcW w:w="7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n.a.</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n.a.</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n.a.</w:t>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warrants activity during the years ended December 31, 2025 and 2024:</w:t>
      </w:r>
    </w:p>
    <w:tbl>
      <w:tblPr>
        <w:tblW w:w="9530" w:type="dxa"/>
        <w:jc w:val="left"/>
        <w:tblInd w:w="0" w:type="dxa"/>
        <w:tblLayout w:type="fixed"/>
        <w:tblCellMar>
          <w:top w:w="28" w:type="dxa"/>
          <w:left w:w="28" w:type="dxa"/>
          <w:bottom w:w="28" w:type="dxa"/>
          <w:right w:w="28" w:type="dxa"/>
        </w:tblCellMar>
      </w:tblPr>
      <w:tblGrid>
        <w:gridCol w:w="972"/>
        <w:gridCol w:w="855"/>
        <w:gridCol w:w="857"/>
        <w:gridCol w:w="544"/>
        <w:gridCol w:w="544"/>
        <w:gridCol w:w="546"/>
        <w:gridCol w:w="109"/>
        <w:gridCol w:w="109"/>
        <w:gridCol w:w="109"/>
        <w:gridCol w:w="639"/>
        <w:gridCol w:w="1523"/>
        <w:gridCol w:w="357"/>
        <w:gridCol w:w="109"/>
        <w:gridCol w:w="109"/>
        <w:gridCol w:w="109"/>
        <w:gridCol w:w="401"/>
        <w:gridCol w:w="1323"/>
        <w:gridCol w:w="315"/>
      </w:tblGrid>
      <w:tr>
        <w:trPr/>
        <w:tc>
          <w:tcPr>
            <w:tcW w:w="972"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523"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Warrants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Fair Value on Grant Date</w:t>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Outstanding at December 31, 2023</w:t>
            </w:r>
          </w:p>
        </w:tc>
        <w:tc>
          <w:tcPr>
            <w:tcW w:w="10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5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3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Granted</w:t>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1,462,119 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3.23 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10,215 </w:t>
            </w:r>
          </w:p>
        </w:tc>
        <w:tc>
          <w:tcPr>
            <w:tcW w:w="31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Exercised</w:t>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Forfeited and cancelled</w:t>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Outstanding at December 31, 2024</w:t>
            </w:r>
          </w:p>
        </w:tc>
        <w:tc>
          <w:tcPr>
            <w:tcW w:w="10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1,462,119 </w:t>
            </w:r>
          </w:p>
        </w:tc>
        <w:tc>
          <w:tcPr>
            <w:tcW w:w="5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5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3.23 </w:t>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3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10,215 </w:t>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Granted</w:t>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1,005,200 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3.23 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8,827 </w:t>
            </w:r>
          </w:p>
        </w:tc>
        <w:tc>
          <w:tcPr>
            <w:tcW w:w="31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Exercised</w:t>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(2,283,986)</w:t>
            </w:r>
          </w:p>
        </w:tc>
        <w:tc>
          <w:tcPr>
            <w:tcW w:w="5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3.23 </w:t>
            </w:r>
          </w:p>
        </w:tc>
        <w:tc>
          <w:tcPr>
            <w:tcW w:w="3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17,626 </w:t>
            </w:r>
          </w:p>
        </w:tc>
        <w:tc>
          <w:tcPr>
            <w:tcW w:w="31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Forfeited and cancelled</w:t>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both"/>
              <w:rPr/>
            </w:pPr>
            <w:r>
              <w:rPr>
                <w:rFonts w:ascii="Times New Roman;serif" w:hAnsi="Times New Roman;serif"/>
                <w:b w:val="false"/>
                <w:color w:val="000000"/>
                <w:sz w:val="16"/>
              </w:rPr>
              <w:t>Outstanding at December 31, 2025</w:t>
            </w:r>
            <w:r>
              <w:rPr>
                <w:rFonts w:ascii="Times New Roman;serif" w:hAnsi="Times New Roman;serif"/>
                <w:b w:val="false"/>
                <w:color w:val="000000"/>
                <w:sz w:val="10"/>
              </w:rPr>
              <w:t>(A)</w:t>
            </w:r>
          </w:p>
        </w:tc>
        <w:tc>
          <w:tcPr>
            <w:tcW w:w="10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183,333 </w:t>
            </w:r>
          </w:p>
        </w:tc>
        <w:tc>
          <w:tcPr>
            <w:tcW w:w="5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5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3.23 </w:t>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3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1,416 </w:t>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Exercisable at December 31, 2025</w:t>
            </w:r>
            <w:r>
              <w:rPr>
                <w:rFonts w:ascii="Times New Roman;serif" w:hAnsi="Times New Roman;serif"/>
                <w:b w:val="false"/>
                <w:color w:val="000000"/>
                <w:sz w:val="10"/>
              </w:rPr>
              <w:t>(B)</w:t>
            </w:r>
          </w:p>
        </w:tc>
        <w:tc>
          <w:tcPr>
            <w:tcW w:w="1088" w:type="dxa"/>
            <w:gridSpan w:val="2"/>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183,333 </w:t>
            </w:r>
          </w:p>
        </w:tc>
        <w:tc>
          <w:tcPr>
            <w:tcW w:w="546"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523"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3.23 </w:t>
            </w:r>
          </w:p>
        </w:tc>
        <w:tc>
          <w:tcPr>
            <w:tcW w:w="357"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323"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1,416 </w:t>
            </w:r>
          </w:p>
        </w:tc>
        <w:tc>
          <w:tcPr>
            <w:tcW w:w="315"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both"/>
        <w:rPr/>
      </w:pPr>
      <w:r>
        <w:rPr>
          <w:rFonts w:ascii="Times New Roman;serif" w:hAnsi="Times New Roman;serif"/>
          <w:b w:val="false"/>
          <w:color w:val="000000"/>
          <w:sz w:val="10"/>
        </w:rPr>
        <w:t>(A)</w:t>
      </w:r>
      <w:r>
        <w:rPr>
          <w:color w:val="000000"/>
        </w:rPr>
        <w:t>    </w:t>
      </w:r>
      <w:r>
        <w:rPr>
          <w:rFonts w:ascii="Times New Roman;serif" w:hAnsi="Times New Roman;serif"/>
          <w:b w:val="false"/>
          <w:color w:val="000000"/>
          <w:sz w:val="16"/>
        </w:rPr>
        <w:t xml:space="preserve">At December 31, 2025, the weighted-average grant date fair values for outstanding warrants and exercisable warrants were $1.4 million, and the intrinsic value for outstanding warrants and exercisable warrants was $6.9 million. </w:t>
      </w:r>
    </w:p>
    <w:p>
      <w:pPr>
        <w:pStyle w:val="TextBody"/>
        <w:bidi w:val="0"/>
        <w:spacing w:lineRule="auto" w:line="288" w:before="0" w:after="180"/>
        <w:ind w:left="0" w:right="0" w:hanging="180"/>
        <w:jc w:val="both"/>
        <w:rPr/>
      </w:pPr>
      <w:r>
        <w:rPr>
          <w:rFonts w:ascii="Times New Roman;serif" w:hAnsi="Times New Roman;serif"/>
          <w:b w:val="false"/>
          <w:color w:val="000000"/>
          <w:sz w:val="10"/>
        </w:rPr>
        <w:t>(B)</w:t>
      </w:r>
      <w:r>
        <w:rPr>
          <w:color w:val="000000"/>
        </w:rPr>
        <w:t>    </w:t>
      </w:r>
      <w:r>
        <w:rPr>
          <w:rFonts w:ascii="Times New Roman;serif" w:hAnsi="Times New Roman;serif"/>
          <w:b w:val="false"/>
          <w:color w:val="000000"/>
          <w:sz w:val="16"/>
        </w:rPr>
        <w:t>Outstanding and exercisable warrants have a weighted average exercise period of 3.2 years at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Equity-Based Compensation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has granted equity-based compensation in the form of options and RSUs to its officers, employees, and other service providers under the terms of the applicable equity incentive plans for the purpose of providing incentives and rewards for service or performance that align the interest of grantees with the long-term growth and profitability of the Company.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Prior to the IPO, RSUs granted under the plans vested based upon the satisfaction of both a service condition and a liquidity-event related performance condition. Both the service condition and liquidity-event related performance condition needed to be met for the expense to be recognized. For these RSUs outstanding at the time of the IPO, the liquidity-event related performance condition was met upon the completion of the IPO, and the Company began recognizing stock based compensation related to these awards.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expects to grant RSUs to employees and members of the board which would vest subject to either (i) continued service, or (ii) continued service and a market condition tied to the Company’s share price over defined performance periods. As of December 31, 2025, the Company has granted RSUs with a market condition that will vest only if the Company’s 10-day average closing stock price at the end of each defined performance period equals or exceeds specified thresholds, in addition to the continuous service requirement through the service period of the award. The market-based RSUs were granted with an average grant date fair value of $21.87 and the target number of market-based RSUs granted was 2,133,961. Any shares for which the market-based component is not achieved with respect to the performance dates of the awards shall remain outstanding and be eligible to be earned based on the applicable 10-day average closing stock price for a subsequent period performance date (such that, for example, if the applicable 10-day average stock price is not achieved in connection with the first performance date, but the applicable 10-day average stock price for the second performance date is achieved in connection with the second performance date, one-half of the shares subject to the award would vest on the second performance date).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fair value of the market-condition RSU was estimated on the grant date using a Monte Carlo simulation that considered expected volatility, risk-free interest rate, dividend yield, expected term, and the effect of the market target. As the market condition is incorporated into the fair value, the Company recognizes the full compensation cost (based on that grant-date fair value) over the grantee’s requisite service period, even if the market conditions are ultimately not achieved.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293370"/>
                <wp:effectExtent l="0" t="0" r="0" b="0"/>
                <wp:wrapNone/>
                <wp:docPr id="164" name="Frame162"/>
                <a:graphic xmlns:a="http://schemas.openxmlformats.org/drawingml/2006/main">
                  <a:graphicData uri="http://schemas.microsoft.com/office/word/2010/wordprocessingShape">
                    <wps:wsp>
                      <wps:cNvSpPr txBox="1"/>
                      <wps:spPr>
                        <a:xfrm>
                          <a:off x="0" y="0"/>
                          <a:ext cx="6480175" cy="293370"/>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162</w:t>
                            </w:r>
                          </w:p>
                          <w:p>
                            <w:pPr>
                              <w:pStyle w:val="TextBody"/>
                              <w:bidi w:val="0"/>
                              <w:spacing w:lineRule="auto" w:line="288" w:before="0" w:after="180"/>
                              <w:jc w:val="left"/>
                              <w:rPr/>
                            </w:pPr>
                            <w:hyperlink w:anchor="i8e13d1b6f3764394b0e424082d2ac79f_151">
                              <w:r>
                                <w:rPr>
                                  <w:rStyle w:val="InternetLink"/>
                                  <w:rFonts w:ascii="Times New Roman;serif" w:hAnsi="Times New Roman;serif"/>
                                  <w:b w:val="false"/>
                                  <w:color w:val="0000FF"/>
                                  <w:sz w:val="20"/>
                                  <w:u w:val="single"/>
                                </w:rPr>
                                <w:t>Table of Contents</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162</w:t>
                      </w:r>
                    </w:p>
                    <w:p>
                      <w:pPr>
                        <w:pStyle w:val="TextBody"/>
                        <w:bidi w:val="0"/>
                        <w:spacing w:lineRule="auto" w:line="288" w:before="0" w:after="180"/>
                        <w:jc w:val="left"/>
                        <w:rPr/>
                      </w:pPr>
                      <w:hyperlink w:anchor="i8e13d1b6f3764394b0e424082d2ac79f_151">
                        <w:r>
                          <w:rPr>
                            <w:rStyle w:val="InternetLink"/>
                            <w:rFonts w:ascii="Times New Roman;serif" w:hAnsi="Times New Roman;serif"/>
                            <w:b w:val="false"/>
                            <w:color w:val="0000FF"/>
                            <w:sz w:val="20"/>
                            <w:u w:val="single"/>
                          </w:rPr>
                          <w:t>Table of Contents</w:t>
                        </w:r>
                      </w:hyperlink>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FIGURE TECHNOLOGY SOLUTIONS,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tables in thousands, except share and per share data, units, ratios or as otherwise noted)</w:t>
      </w:r>
    </w:p>
    <w:p>
      <w:pPr>
        <w:pStyle w:val="TextBody"/>
        <w:bidi w:val="0"/>
        <w:spacing w:before="0" w:after="180"/>
        <w:jc w:val="center"/>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records stock-based compensation for service-based RSUs on a straight-line basis over the requisite service period, which is generally the vesting period. The following table presents the amount of stock-based compensation expense related to equity-based compensation recognized in the Consolidated Statements of Operations:</w:t>
      </w:r>
    </w:p>
    <w:tbl>
      <w:tblPr>
        <w:tblW w:w="6566" w:type="dxa"/>
        <w:jc w:val="left"/>
        <w:tblInd w:w="0" w:type="dxa"/>
        <w:tblLayout w:type="fixed"/>
        <w:tblCellMar>
          <w:top w:w="28" w:type="dxa"/>
          <w:left w:w="28" w:type="dxa"/>
          <w:bottom w:w="28" w:type="dxa"/>
          <w:right w:w="28" w:type="dxa"/>
        </w:tblCellMar>
      </w:tblPr>
      <w:tblGrid>
        <w:gridCol w:w="1092"/>
        <w:gridCol w:w="959"/>
        <w:gridCol w:w="963"/>
        <w:gridCol w:w="196"/>
        <w:gridCol w:w="646"/>
        <w:gridCol w:w="109"/>
        <w:gridCol w:w="109"/>
        <w:gridCol w:w="109"/>
        <w:gridCol w:w="109"/>
        <w:gridCol w:w="196"/>
        <w:gridCol w:w="646"/>
        <w:gridCol w:w="109"/>
        <w:gridCol w:w="109"/>
        <w:gridCol w:w="109"/>
        <w:gridCol w:w="109"/>
        <w:gridCol w:w="196"/>
        <w:gridCol w:w="646"/>
        <w:gridCol w:w="154"/>
      </w:tblGrid>
      <w:tr>
        <w:trPr/>
        <w:tc>
          <w:tcPr>
            <w:tcW w:w="1092"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Years Ended December 31,</w:t>
            </w:r>
          </w:p>
        </w:tc>
      </w:tr>
      <w:tr>
        <w:trPr/>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General and administrative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59,113 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35,423 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8,296 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6"/>
              </w:rPr>
              <w:t>Technology and product development</w:t>
            </w:r>
            <w:r>
              <w:rPr>
                <w:rFonts w:ascii="Times New Roman;serif" w:hAnsi="Times New Roman;serif"/>
                <w:b w:val="false"/>
                <w:color w:val="000000"/>
                <w:sz w:val="10"/>
              </w:rPr>
              <w:t>(A)</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Operations and processing</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Sales and marketing</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equity-based compensation expense</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72,421 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45,310 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13,450 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180"/>
        <w:jc w:val="both"/>
        <w:rPr/>
      </w:pPr>
      <w:r>
        <w:rPr>
          <w:rFonts w:ascii="Times New Roman;serif" w:hAnsi="Times New Roman;serif"/>
          <w:b w:val="false"/>
          <w:color w:val="000000"/>
          <w:sz w:val="10"/>
        </w:rPr>
        <w:t>(A)</w:t>
      </w:r>
      <w:r>
        <w:rPr>
          <w:color w:val="000000"/>
        </w:rPr>
        <w:t>    </w:t>
      </w:r>
      <w:r>
        <w:rPr>
          <w:rFonts w:ascii="Times New Roman;serif" w:hAnsi="Times New Roman;serif"/>
          <w:b w:val="false"/>
          <w:color w:val="000000"/>
          <w:sz w:val="16"/>
        </w:rPr>
        <w:t xml:space="preserve">Technology and product development includes $9.5 million, $6.6 million, and zero equity-based expense for warrants for the years ended December 31, 2025, 2024, and 2023,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Equity Incentive Plans</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2018 Equity Incentive Plan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2018, the Company adopted the 2018 Equity Incentive Plan (“2018 Plan”) that authorized the Company to grant awards of up to 52,346,283 shares of common stock of FTS to FTS’ employees, non-employees, officers, and directors in the form of incentive stock options, non-qualified stock options, stock appreciation rights, restricted stock and RSUs. Each award outstanding under the 2018 Plan continues to be governed by the terms and conditions of the 2018 Plan. In connection with the IPO, the 2018 Plan awards were amended to cover shares of Class A common stock (or, if determined by the plan administrator, Class B common stock). At December 31, 2025, 2024 and 2023 the Company had granted awards equivalent to 56,462,313, 54,133,329 and 32,645,381 shares of common stock, respectively, gross of forfeited and cancelled shares that could be recycled back into authorized shares under the 2018 Plan. In connection with the IPO, the Company froze the 2018 Plan and no new awards will be granted under the 2018 Plan.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2024, the Company modified awards under the 2018 Plan and extended the post-termination exercise period of vested options held by certain current and former employees, resulting in $0.7 million and $6.8 million of incremental equity-based compensation expense recognized during the years ended December 31, 2025 and 2024, respectively.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reflects the activities of stock options granted under the 2018 Plan for the years ended December 31, 2025, 2024 and 2023:</w:t>
      </w:r>
    </w:p>
    <w:tbl>
      <w:tblPr>
        <w:tblW w:w="10173" w:type="dxa"/>
        <w:jc w:val="left"/>
        <w:tblInd w:w="0" w:type="dxa"/>
        <w:tblLayout w:type="fixed"/>
        <w:tblCellMar>
          <w:top w:w="28" w:type="dxa"/>
          <w:left w:w="28" w:type="dxa"/>
          <w:bottom w:w="28" w:type="dxa"/>
          <w:right w:w="28" w:type="dxa"/>
        </w:tblCellMar>
      </w:tblPr>
      <w:tblGrid>
        <w:gridCol w:w="923"/>
        <w:gridCol w:w="812"/>
        <w:gridCol w:w="814"/>
        <w:gridCol w:w="499"/>
        <w:gridCol w:w="499"/>
        <w:gridCol w:w="501"/>
        <w:gridCol w:w="109"/>
        <w:gridCol w:w="109"/>
        <w:gridCol w:w="109"/>
        <w:gridCol w:w="320"/>
        <w:gridCol w:w="762"/>
        <w:gridCol w:w="178"/>
        <w:gridCol w:w="109"/>
        <w:gridCol w:w="109"/>
        <w:gridCol w:w="109"/>
        <w:gridCol w:w="644"/>
        <w:gridCol w:w="644"/>
        <w:gridCol w:w="646"/>
        <w:gridCol w:w="109"/>
        <w:gridCol w:w="109"/>
        <w:gridCol w:w="109"/>
        <w:gridCol w:w="468"/>
        <w:gridCol w:w="1114"/>
        <w:gridCol w:w="368"/>
      </w:tblGrid>
      <w:tr>
        <w:trPr/>
        <w:tc>
          <w:tcPr>
            <w:tcW w:w="923"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Weighted-Average</w:t>
            </w:r>
          </w:p>
        </w:tc>
      </w:tr>
      <w:tr>
        <w:trPr/>
        <w:tc>
          <w:tcPr>
            <w:tcW w:w="2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Exercise Price</w:t>
            </w:r>
            <w:r>
              <w:rPr>
                <w:rFonts w:ascii="Times New Roman;serif" w:hAnsi="Times New Roman;serif"/>
                <w:b/>
                <w:color w:val="000000"/>
                <w:sz w:val="10"/>
              </w:rPr>
              <w: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Remaining Life (Years)</w:t>
            </w:r>
            <w:r>
              <w:rPr>
                <w:rFonts w:ascii="Times New Roman;serif" w:hAnsi="Times New Roman;serif"/>
                <w:b/>
                <w:color w:val="000000"/>
                <w:sz w:val="10"/>
              </w:rPr>
              <w:t>(B)</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Grant Date Fair Value</w:t>
            </w:r>
            <w:r>
              <w:rPr>
                <w:rFonts w:ascii="Times New Roman;serif" w:hAnsi="Times New Roman;serif"/>
                <w:b/>
                <w:color w:val="000000"/>
                <w:sz w:val="10"/>
              </w:rPr>
              <w:t>(C)</w:t>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Outstanding at December 31, 2022</w:t>
            </w:r>
          </w:p>
        </w:tc>
        <w:tc>
          <w:tcPr>
            <w:tcW w:w="9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19,623,139 </w:t>
            </w:r>
          </w:p>
        </w:tc>
        <w:tc>
          <w:tcPr>
            <w:tcW w:w="5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3.79 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2.05 </w:t>
            </w:r>
          </w:p>
        </w:tc>
        <w:tc>
          <w:tcPr>
            <w:tcW w:w="3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Granted</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3,593,104 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5.47 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3.26 </w:t>
            </w:r>
          </w:p>
        </w:tc>
        <w:tc>
          <w:tcPr>
            <w:tcW w:w="36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Exercised</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(582,905)</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1.94 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3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Forfeited and cancelled</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(2,801,990)</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4.93 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2.70 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Outstanding at December 31, 2023</w:t>
            </w:r>
          </w:p>
        </w:tc>
        <w:tc>
          <w:tcPr>
            <w:tcW w:w="9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19,831,348 </w:t>
            </w:r>
          </w:p>
        </w:tc>
        <w:tc>
          <w:tcPr>
            <w:tcW w:w="5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4.07 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2.14 </w:t>
            </w:r>
          </w:p>
        </w:tc>
        <w:tc>
          <w:tcPr>
            <w:tcW w:w="3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Granted</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15,613,098 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4.71 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4.41 </w:t>
            </w:r>
          </w:p>
        </w:tc>
        <w:tc>
          <w:tcPr>
            <w:tcW w:w="36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Exercised</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(1,153,803)</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2.75 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1.49 </w:t>
            </w:r>
          </w:p>
        </w:tc>
        <w:tc>
          <w:tcPr>
            <w:tcW w:w="3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Forfeited and cancelled</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(4,642,073)</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4.11 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2.65 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Outstanding at December 31, 2024</w:t>
            </w:r>
          </w:p>
        </w:tc>
        <w:tc>
          <w:tcPr>
            <w:tcW w:w="9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29,648,570 </w:t>
            </w:r>
          </w:p>
        </w:tc>
        <w:tc>
          <w:tcPr>
            <w:tcW w:w="5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4.45 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3.28 </w:t>
            </w:r>
          </w:p>
        </w:tc>
        <w:tc>
          <w:tcPr>
            <w:tcW w:w="3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Granted</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1,726,700 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7.76 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4.43 </w:t>
            </w:r>
          </w:p>
        </w:tc>
        <w:tc>
          <w:tcPr>
            <w:tcW w:w="36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Exercised</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(1,791,680)</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2.69 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1.15 </w:t>
            </w:r>
          </w:p>
        </w:tc>
        <w:tc>
          <w:tcPr>
            <w:tcW w:w="36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Forfeited and cancelled</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(1,467,371)</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4.67 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2.30 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Outstanding at December 31, 2025</w:t>
            </w:r>
          </w:p>
        </w:tc>
        <w:tc>
          <w:tcPr>
            <w:tcW w:w="9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28,116,219 </w:t>
            </w:r>
          </w:p>
        </w:tc>
        <w:tc>
          <w:tcPr>
            <w:tcW w:w="5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4.75 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3.54 </w:t>
            </w:r>
          </w:p>
        </w:tc>
        <w:tc>
          <w:tcPr>
            <w:tcW w:w="3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At December 31, 2025</w:t>
            </w:r>
          </w:p>
        </w:tc>
        <w:tc>
          <w:tcPr>
            <w:tcW w:w="14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Options Exercisable</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22,540,335 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4.57 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3.64 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both"/>
        <w:rPr/>
      </w:pPr>
      <w:r>
        <w:rPr>
          <w:rFonts w:ascii="Times New Roman;serif" w:hAnsi="Times New Roman;serif"/>
          <w:b w:val="false"/>
          <w:color w:val="000000"/>
          <w:sz w:val="10"/>
        </w:rPr>
        <w:t>(A)</w:t>
      </w:r>
      <w:r>
        <w:rPr>
          <w:color w:val="000000"/>
        </w:rPr>
        <w:t>    </w:t>
      </w:r>
      <w:r>
        <w:rPr>
          <w:rFonts w:ascii="Times New Roman;serif" w:hAnsi="Times New Roman;serif"/>
          <w:b w:val="false"/>
          <w:color w:val="000000"/>
          <w:sz w:val="16"/>
        </w:rPr>
        <w:t>The aggregate intrinsic value of options is calculated as the difference between the exercise price of the options and the fair value of the issuing entity’s common shares, which was $36.09 per common share of FTS as of December 31, 2025.</w:t>
      </w:r>
    </w:p>
    <w:p>
      <w:pPr>
        <w:pStyle w:val="TextBody"/>
        <w:bidi w:val="0"/>
        <w:spacing w:lineRule="auto" w:line="288" w:before="0" w:after="0"/>
        <w:ind w:left="0" w:right="0" w:hanging="180"/>
        <w:jc w:val="both"/>
        <w:rPr/>
      </w:pPr>
      <w:r>
        <w:rPr>
          <w:rFonts w:ascii="Times New Roman;serif" w:hAnsi="Times New Roman;serif"/>
          <w:b w:val="false"/>
          <w:color w:val="000000"/>
          <w:sz w:val="10"/>
        </w:rPr>
        <w:t>(B)    </w:t>
      </w:r>
      <w:r>
        <w:rPr>
          <w:rFonts w:ascii="Times New Roman;serif" w:hAnsi="Times New Roman;serif"/>
          <w:b w:val="false"/>
          <w:color w:val="000000"/>
          <w:sz w:val="16"/>
        </w:rPr>
        <w:t>Options expire on the 10</w:t>
      </w:r>
      <w:r>
        <w:rPr>
          <w:rFonts w:ascii="Times New Roman;serif" w:hAnsi="Times New Roman;serif"/>
          <w:b w:val="false"/>
          <w:color w:val="000000"/>
          <w:sz w:val="10"/>
        </w:rPr>
        <w:t>th</w:t>
      </w:r>
      <w:r>
        <w:rPr>
          <w:color w:val="000000"/>
        </w:rPr>
        <w:t xml:space="preserve"> </w:t>
      </w:r>
      <w:r>
        <w:rPr>
          <w:rFonts w:ascii="Times New Roman;serif" w:hAnsi="Times New Roman;serif"/>
          <w:b w:val="false"/>
          <w:color w:val="000000"/>
          <w:sz w:val="16"/>
        </w:rPr>
        <w:t>anniversary of the original grant.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293370"/>
                <wp:effectExtent l="0" t="0" r="0" b="0"/>
                <wp:wrapNone/>
                <wp:docPr id="165" name="Frame163"/>
                <a:graphic xmlns:a="http://schemas.openxmlformats.org/drawingml/2006/main">
                  <a:graphicData uri="http://schemas.microsoft.com/office/word/2010/wordprocessingShape">
                    <wps:wsp>
                      <wps:cNvSpPr txBox="1"/>
                      <wps:spPr>
                        <a:xfrm>
                          <a:off x="0" y="0"/>
                          <a:ext cx="6480175" cy="293370"/>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163</w:t>
                            </w:r>
                          </w:p>
                          <w:p>
                            <w:pPr>
                              <w:pStyle w:val="TextBody"/>
                              <w:bidi w:val="0"/>
                              <w:spacing w:lineRule="auto" w:line="288" w:before="0" w:after="180"/>
                              <w:jc w:val="left"/>
                              <w:rPr/>
                            </w:pPr>
                            <w:hyperlink w:anchor="i8e13d1b6f3764394b0e424082d2ac79f_151">
                              <w:r>
                                <w:rPr>
                                  <w:rStyle w:val="InternetLink"/>
                                  <w:rFonts w:ascii="Times New Roman;serif" w:hAnsi="Times New Roman;serif"/>
                                  <w:b w:val="false"/>
                                  <w:color w:val="0000FF"/>
                                  <w:sz w:val="20"/>
                                  <w:u w:val="single"/>
                                </w:rPr>
                                <w:t>Table of Contents</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163</w:t>
                      </w:r>
                    </w:p>
                    <w:p>
                      <w:pPr>
                        <w:pStyle w:val="TextBody"/>
                        <w:bidi w:val="0"/>
                        <w:spacing w:lineRule="auto" w:line="288" w:before="0" w:after="180"/>
                        <w:jc w:val="left"/>
                        <w:rPr/>
                      </w:pPr>
                      <w:hyperlink w:anchor="i8e13d1b6f3764394b0e424082d2ac79f_151">
                        <w:r>
                          <w:rPr>
                            <w:rStyle w:val="InternetLink"/>
                            <w:rFonts w:ascii="Times New Roman;serif" w:hAnsi="Times New Roman;serif"/>
                            <w:b w:val="false"/>
                            <w:color w:val="0000FF"/>
                            <w:sz w:val="20"/>
                            <w:u w:val="single"/>
                          </w:rPr>
                          <w:t>Table of Contents</w:t>
                        </w:r>
                      </w:hyperlink>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FIGURE TECHNOLOGY SOLUTIONS,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tables in thousands, except share and per share data, units, ratios or as otherwise noted)</w:t>
      </w:r>
    </w:p>
    <w:p>
      <w:pPr>
        <w:pStyle w:val="TextBody"/>
        <w:bidi w:val="0"/>
        <w:spacing w:before="0" w:after="180"/>
        <w:jc w:val="center"/>
        <w:rPr/>
      </w:pPr>
      <w:r>
        <w:rPr/>
      </w:r>
    </w:p>
    <w:p>
      <w:pPr>
        <w:pStyle w:val="TextBody"/>
        <w:bidi w:val="0"/>
        <w:spacing w:lineRule="auto" w:line="288" w:before="0" w:after="180"/>
        <w:ind w:left="0" w:right="0" w:hanging="180"/>
        <w:jc w:val="both"/>
        <w:rPr/>
      </w:pPr>
      <w:r>
        <w:rPr>
          <w:rFonts w:ascii="Times New Roman;serif" w:hAnsi="Times New Roman;serif"/>
          <w:b w:val="false"/>
          <w:color w:val="000000"/>
          <w:sz w:val="10"/>
        </w:rPr>
        <w:t>(C)    </w:t>
      </w:r>
      <w:r>
        <w:rPr>
          <w:rFonts w:ascii="Times New Roman;serif" w:hAnsi="Times New Roman;serif"/>
          <w:b w:val="false"/>
          <w:color w:val="000000"/>
          <w:sz w:val="16"/>
        </w:rPr>
        <w:t>For the year ended December 31, 2025, the Company used risk-free rates, estimated common stock volatility, expected term, and dividend yield as inputs and the fair value of the Company’s common stock as a key input to estimate the grant date fair value using the Black-Scholes method. The Company does not assume dividend payments, as it does not pay dividends, and estimates common stock volatilities using the average historical volatility of a peer group of companies for the period immediately preceding the option grant for a term that is approximately equal to the option’s expected term. The Company estimates the grant-date fair value of awards using the contractual term of award, if any, including discounts for applicable post-vesting restrictions such as remaining in the service to the business except as otherwise amended estimated using Black-Scholes method.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fair value of each option grant is estimated as of the grant date using the Black-Scholes option pricing model. The fair values of options granted during the years presented were determined using the following weighted average assumptions as of the grant date:</w:t>
      </w:r>
    </w:p>
    <w:tbl>
      <w:tblPr>
        <w:tblW w:w="11422" w:type="dxa"/>
        <w:jc w:val="left"/>
        <w:tblInd w:w="0" w:type="dxa"/>
        <w:tblLayout w:type="fixed"/>
        <w:tblCellMar>
          <w:top w:w="28" w:type="dxa"/>
          <w:left w:w="28" w:type="dxa"/>
          <w:bottom w:w="28" w:type="dxa"/>
          <w:right w:w="28" w:type="dxa"/>
        </w:tblCellMar>
      </w:tblPr>
      <w:tblGrid>
        <w:gridCol w:w="277"/>
        <w:gridCol w:w="244"/>
        <w:gridCol w:w="245"/>
        <w:gridCol w:w="196"/>
        <w:gridCol w:w="466"/>
        <w:gridCol w:w="241"/>
        <w:gridCol w:w="109"/>
        <w:gridCol w:w="109"/>
        <w:gridCol w:w="109"/>
        <w:gridCol w:w="196"/>
        <w:gridCol w:w="466"/>
        <w:gridCol w:w="241"/>
        <w:gridCol w:w="109"/>
        <w:gridCol w:w="109"/>
        <w:gridCol w:w="109"/>
        <w:gridCol w:w="196"/>
        <w:gridCol w:w="466"/>
        <w:gridCol w:w="241"/>
        <w:gridCol w:w="109"/>
        <w:gridCol w:w="109"/>
        <w:gridCol w:w="109"/>
        <w:gridCol w:w="196"/>
        <w:gridCol w:w="466"/>
        <w:gridCol w:w="241"/>
        <w:gridCol w:w="109"/>
        <w:gridCol w:w="109"/>
        <w:gridCol w:w="109"/>
        <w:gridCol w:w="196"/>
        <w:gridCol w:w="466"/>
        <w:gridCol w:w="241"/>
        <w:gridCol w:w="109"/>
        <w:gridCol w:w="109"/>
        <w:gridCol w:w="109"/>
        <w:gridCol w:w="196"/>
        <w:gridCol w:w="466"/>
        <w:gridCol w:w="241"/>
        <w:gridCol w:w="109"/>
        <w:gridCol w:w="109"/>
        <w:gridCol w:w="109"/>
        <w:gridCol w:w="196"/>
        <w:gridCol w:w="466"/>
        <w:gridCol w:w="241"/>
        <w:gridCol w:w="109"/>
        <w:gridCol w:w="109"/>
        <w:gridCol w:w="109"/>
        <w:gridCol w:w="196"/>
        <w:gridCol w:w="466"/>
        <w:gridCol w:w="241"/>
        <w:gridCol w:w="109"/>
        <w:gridCol w:w="109"/>
        <w:gridCol w:w="109"/>
        <w:gridCol w:w="196"/>
        <w:gridCol w:w="466"/>
        <w:gridCol w:w="154"/>
      </w:tblGrid>
      <w:tr>
        <w:trPr/>
        <w:tc>
          <w:tcPr>
            <w:tcW w:w="27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6" w:type="dxa"/>
            <w:gridSpan w:val="5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Years Ended December 31,</w:t>
            </w:r>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3"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3"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6"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Low</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High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Weighted </w:t>
              <w:br/>
              <w:t>Average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Low</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High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Weighted </w:t>
              <w:br/>
              <w:t>Average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Low</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High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 xml:space="preserve">Weighted </w:t>
              <w:br/>
              <w:t>Average</w:t>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Expected Term</w:t>
            </w:r>
          </w:p>
        </w:tc>
        <w:tc>
          <w:tcPr>
            <w:tcW w:w="9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16"/>
              </w:rPr>
            </w:pPr>
            <w:r>
              <w:rPr>
                <w:rFonts w:ascii="Times New Roman;serif" w:hAnsi="Times New Roman;serif"/>
                <w:b w:val="false"/>
                <w:color w:val="000000"/>
                <w:sz w:val="16"/>
              </w:rPr>
              <w:t>5.8</w:t>
            </w:r>
          </w:p>
        </w:tc>
      </w:tr>
      <w:tr>
        <w:trPr/>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Volatility</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57.3</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59.4</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57.5</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41.9 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59.2</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53.0</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45.5</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64.3</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54.2</w:t>
            </w:r>
          </w:p>
        </w:tc>
        <w:tc>
          <w:tcPr>
            <w:tcW w:w="154"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Rate</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w:t>
            </w:r>
          </w:p>
        </w:tc>
        <w:tc>
          <w:tcPr>
            <w:tcW w:w="154"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Dividend Yield</w:t>
            </w:r>
          </w:p>
        </w:tc>
        <w:tc>
          <w:tcPr>
            <w:tcW w:w="9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16"/>
              </w:rPr>
            </w:pPr>
            <w:r>
              <w:rPr>
                <w:rFonts w:ascii="Times New Roman;serif" w:hAnsi="Times New Roman;serif"/>
                <w:b w:val="false"/>
                <w:color w:val="000000"/>
                <w:sz w:val="16"/>
              </w:rPr>
              <w:t>n.a.</w:t>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Fair Value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reflects the activities of RSUs granted under the 2018 Plan for the years ended December 31, 2025 and 2024; there was no activity in the year ended December 31, 2023.</w:t>
      </w:r>
    </w:p>
    <w:tbl>
      <w:tblPr>
        <w:tblW w:w="7278" w:type="dxa"/>
        <w:jc w:val="left"/>
        <w:tblInd w:w="0" w:type="dxa"/>
        <w:tblLayout w:type="fixed"/>
        <w:tblCellMar>
          <w:top w:w="28" w:type="dxa"/>
          <w:left w:w="28" w:type="dxa"/>
          <w:bottom w:w="28" w:type="dxa"/>
          <w:right w:w="28" w:type="dxa"/>
        </w:tblCellMar>
      </w:tblPr>
      <w:tblGrid>
        <w:gridCol w:w="852"/>
        <w:gridCol w:w="750"/>
        <w:gridCol w:w="753"/>
        <w:gridCol w:w="476"/>
        <w:gridCol w:w="469"/>
        <w:gridCol w:w="441"/>
        <w:gridCol w:w="109"/>
        <w:gridCol w:w="109"/>
        <w:gridCol w:w="109"/>
        <w:gridCol w:w="771"/>
        <w:gridCol w:w="1832"/>
        <w:gridCol w:w="607"/>
      </w:tblGrid>
      <w:tr>
        <w:trPr/>
        <w:tc>
          <w:tcPr>
            <w:tcW w:w="852"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832"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RSUs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Grant Date Fair Value</w:t>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Unvested at December 31, 2023</w:t>
            </w:r>
          </w:p>
        </w:tc>
        <w:tc>
          <w:tcPr>
            <w:tcW w:w="9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Granted</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5,874,850 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4.82 </w:t>
            </w:r>
          </w:p>
        </w:tc>
        <w:tc>
          <w:tcPr>
            <w:tcW w:w="60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Vested</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0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Forfeited and cancelled</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Unvested at December 31, 2024</w:t>
            </w:r>
          </w:p>
        </w:tc>
        <w:tc>
          <w:tcPr>
            <w:tcW w:w="9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5,874,850 </w:t>
            </w:r>
          </w:p>
        </w:tc>
        <w:tc>
          <w:tcPr>
            <w:tcW w:w="4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4.82 </w:t>
            </w:r>
          </w:p>
        </w:tc>
        <w:tc>
          <w:tcPr>
            <w:tcW w:w="6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Granted</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602,284 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10.48 </w:t>
            </w:r>
          </w:p>
        </w:tc>
        <w:tc>
          <w:tcPr>
            <w:tcW w:w="60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Vested</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(2,251,468)</w:t>
            </w:r>
          </w:p>
        </w:tc>
        <w:tc>
          <w:tcPr>
            <w:tcW w:w="4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6.07 </w:t>
            </w:r>
          </w:p>
        </w:tc>
        <w:tc>
          <w:tcPr>
            <w:tcW w:w="60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Forfeited and cancelled</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(30,000)</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9.98 </w:t>
            </w:r>
          </w:p>
        </w:tc>
        <w:tc>
          <w:tcPr>
            <w:tcW w:w="6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Unvested at December 31, 2025</w:t>
            </w:r>
          </w:p>
        </w:tc>
        <w:tc>
          <w:tcPr>
            <w:tcW w:w="94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4,195,666 </w:t>
            </w:r>
          </w:p>
        </w:tc>
        <w:tc>
          <w:tcPr>
            <w:tcW w:w="4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8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4.92 </w:t>
            </w:r>
          </w:p>
        </w:tc>
        <w:tc>
          <w:tcPr>
            <w:tcW w:w="6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2024 Equity Incentive Plan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part of the Reorganization, FMH adopted the 2024 Equity Incentive Plan (“2024 Plan”) that authorized FMH to grant awards of up to 4,635,234 shares of common stock of FMH to FMH employees, non-employees, officers, and directors in the form of incentive stock options, non-qualified stock options, stock appreciation rights, restricted stock and RSUs. As part of the Recombination, the Company assumed the 2024 Plan and all options outstanding thereunder as of the Recombination Date, and such outstanding options were converted to options of FTS based on the Conversion Rate. As of December 31, 2025 and 2024 the Company had granted option awards equivalent to 3,172,306 and 2,866,300 shares of common stock, respectively, gross of forfeited and cancelled awards under the 2024 Plan. There have been no RSUs granted under the 2024 Plan. In connection with the IPO, the Company froze the 2024 Plan and no new awards will be granted under it.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293370"/>
                <wp:effectExtent l="0" t="0" r="0" b="0"/>
                <wp:wrapNone/>
                <wp:docPr id="166" name="Frame164"/>
                <a:graphic xmlns:a="http://schemas.openxmlformats.org/drawingml/2006/main">
                  <a:graphicData uri="http://schemas.microsoft.com/office/word/2010/wordprocessingShape">
                    <wps:wsp>
                      <wps:cNvSpPr txBox="1"/>
                      <wps:spPr>
                        <a:xfrm>
                          <a:off x="0" y="0"/>
                          <a:ext cx="6480175" cy="293370"/>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164</w:t>
                            </w:r>
                          </w:p>
                          <w:p>
                            <w:pPr>
                              <w:pStyle w:val="TextBody"/>
                              <w:bidi w:val="0"/>
                              <w:spacing w:lineRule="auto" w:line="288" w:before="0" w:after="180"/>
                              <w:jc w:val="left"/>
                              <w:rPr/>
                            </w:pPr>
                            <w:hyperlink w:anchor="i8e13d1b6f3764394b0e424082d2ac79f_151">
                              <w:r>
                                <w:rPr>
                                  <w:rStyle w:val="InternetLink"/>
                                  <w:rFonts w:ascii="Times New Roman;serif" w:hAnsi="Times New Roman;serif"/>
                                  <w:b w:val="false"/>
                                  <w:color w:val="0000FF"/>
                                  <w:sz w:val="20"/>
                                  <w:u w:val="single"/>
                                </w:rPr>
                                <w:t>Table of Contents</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164</w:t>
                      </w:r>
                    </w:p>
                    <w:p>
                      <w:pPr>
                        <w:pStyle w:val="TextBody"/>
                        <w:bidi w:val="0"/>
                        <w:spacing w:lineRule="auto" w:line="288" w:before="0" w:after="180"/>
                        <w:jc w:val="left"/>
                        <w:rPr/>
                      </w:pPr>
                      <w:hyperlink w:anchor="i8e13d1b6f3764394b0e424082d2ac79f_151">
                        <w:r>
                          <w:rPr>
                            <w:rStyle w:val="InternetLink"/>
                            <w:rFonts w:ascii="Times New Roman;serif" w:hAnsi="Times New Roman;serif"/>
                            <w:b w:val="false"/>
                            <w:color w:val="0000FF"/>
                            <w:sz w:val="20"/>
                            <w:u w:val="single"/>
                          </w:rPr>
                          <w:t>Table of Contents</w:t>
                        </w:r>
                      </w:hyperlink>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FIGURE TECHNOLOGY SOLUTIONS,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tables in thousands, except share and per share data, units, ratios or as otherwise noted)</w:t>
      </w:r>
    </w:p>
    <w:p>
      <w:pPr>
        <w:pStyle w:val="TextBody"/>
        <w:bidi w:val="0"/>
        <w:spacing w:before="0" w:after="180"/>
        <w:jc w:val="center"/>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reflects the activities of stock options granted under the 2024 Plan for the years ended December 31, 2025 and 2024; there was no activity in the year ended December 31, 2023.</w:t>
      </w:r>
    </w:p>
    <w:tbl>
      <w:tblPr>
        <w:tblW w:w="10174" w:type="dxa"/>
        <w:jc w:val="left"/>
        <w:tblInd w:w="0" w:type="dxa"/>
        <w:tblLayout w:type="fixed"/>
        <w:tblCellMar>
          <w:top w:w="28" w:type="dxa"/>
          <w:left w:w="28" w:type="dxa"/>
          <w:bottom w:w="28" w:type="dxa"/>
          <w:right w:w="28" w:type="dxa"/>
        </w:tblCellMar>
      </w:tblPr>
      <w:tblGrid>
        <w:gridCol w:w="923"/>
        <w:gridCol w:w="812"/>
        <w:gridCol w:w="814"/>
        <w:gridCol w:w="499"/>
        <w:gridCol w:w="499"/>
        <w:gridCol w:w="501"/>
        <w:gridCol w:w="109"/>
        <w:gridCol w:w="109"/>
        <w:gridCol w:w="109"/>
        <w:gridCol w:w="320"/>
        <w:gridCol w:w="762"/>
        <w:gridCol w:w="178"/>
        <w:gridCol w:w="109"/>
        <w:gridCol w:w="109"/>
        <w:gridCol w:w="109"/>
        <w:gridCol w:w="533"/>
        <w:gridCol w:w="1103"/>
        <w:gridCol w:w="299"/>
        <w:gridCol w:w="109"/>
        <w:gridCol w:w="109"/>
        <w:gridCol w:w="109"/>
        <w:gridCol w:w="468"/>
        <w:gridCol w:w="1114"/>
        <w:gridCol w:w="368"/>
      </w:tblGrid>
      <w:tr>
        <w:trPr/>
        <w:tc>
          <w:tcPr>
            <w:tcW w:w="923"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Weighted-Average</w:t>
            </w:r>
          </w:p>
        </w:tc>
      </w:tr>
      <w:tr>
        <w:trPr/>
        <w:tc>
          <w:tcPr>
            <w:tcW w:w="2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Exercise Price</w:t>
            </w:r>
            <w:r>
              <w:rPr>
                <w:rFonts w:ascii="Times New Roman;serif" w:hAnsi="Times New Roman;serif"/>
                <w:b/>
                <w:color w:val="000000"/>
                <w:sz w:val="10"/>
              </w:rPr>
              <w: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Remaining Life (Years)</w:t>
            </w:r>
            <w:r>
              <w:rPr>
                <w:rFonts w:ascii="Times New Roman;serif" w:hAnsi="Times New Roman;serif"/>
                <w:b/>
                <w:color w:val="000000"/>
                <w:sz w:val="10"/>
              </w:rPr>
              <w:t>(B)</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Grant Date Fair Value</w:t>
            </w:r>
            <w:r>
              <w:rPr>
                <w:rFonts w:ascii="Times New Roman;serif" w:hAnsi="Times New Roman;serif"/>
                <w:b/>
                <w:color w:val="000000"/>
                <w:sz w:val="10"/>
              </w:rPr>
              <w:t>(C)</w:t>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Outstanding at December 31, 2023</w:t>
            </w:r>
          </w:p>
        </w:tc>
        <w:tc>
          <w:tcPr>
            <w:tcW w:w="9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Granted</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2,866,300 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3.23 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1.54 </w:t>
            </w:r>
          </w:p>
        </w:tc>
        <w:tc>
          <w:tcPr>
            <w:tcW w:w="36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Exercised</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(216,223)</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3.23 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1.49 </w:t>
            </w:r>
          </w:p>
        </w:tc>
        <w:tc>
          <w:tcPr>
            <w:tcW w:w="3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Forfeited and cancelled</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(268,231)</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3.23 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Outstanding at December 31, 2024</w:t>
            </w:r>
          </w:p>
        </w:tc>
        <w:tc>
          <w:tcPr>
            <w:tcW w:w="9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2,381,846 </w:t>
            </w:r>
          </w:p>
        </w:tc>
        <w:tc>
          <w:tcPr>
            <w:tcW w:w="5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3.23 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1.54 </w:t>
            </w:r>
          </w:p>
        </w:tc>
        <w:tc>
          <w:tcPr>
            <w:tcW w:w="3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Granted</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306,006 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5.13 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1.63 </w:t>
            </w:r>
          </w:p>
        </w:tc>
        <w:tc>
          <w:tcPr>
            <w:tcW w:w="36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Exercised</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(180,184)</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3.23 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1.84 </w:t>
            </w:r>
          </w:p>
        </w:tc>
        <w:tc>
          <w:tcPr>
            <w:tcW w:w="36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Forfeited and cancelled</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(322,180)</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3.93 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Outstanding at December 31, 2025</w:t>
            </w:r>
          </w:p>
        </w:tc>
        <w:tc>
          <w:tcPr>
            <w:tcW w:w="9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2,185,488 </w:t>
            </w:r>
          </w:p>
        </w:tc>
        <w:tc>
          <w:tcPr>
            <w:tcW w:w="5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3.39 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1.50 </w:t>
            </w:r>
          </w:p>
        </w:tc>
        <w:tc>
          <w:tcPr>
            <w:tcW w:w="3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At December 31, 2025</w:t>
            </w:r>
          </w:p>
        </w:tc>
        <w:tc>
          <w:tcPr>
            <w:tcW w:w="14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Options Exercisable</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1,176,697 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3.31 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both"/>
        <w:rPr/>
      </w:pPr>
      <w:r>
        <w:rPr>
          <w:rFonts w:ascii="Times New Roman;serif" w:hAnsi="Times New Roman;serif"/>
          <w:b w:val="false"/>
          <w:color w:val="000000"/>
          <w:sz w:val="10"/>
        </w:rPr>
        <w:t>(A)    </w:t>
      </w:r>
      <w:r>
        <w:rPr>
          <w:rFonts w:ascii="Times New Roman;serif" w:hAnsi="Times New Roman;serif"/>
          <w:b w:val="false"/>
          <w:color w:val="000000"/>
          <w:sz w:val="16"/>
        </w:rPr>
        <w:t>The aggregate intrinsic value of options is calculated as the difference between the exercise price of the options and the estimated fair value of the issuing entity’s common shares, which was $37.45 per common share.</w:t>
      </w:r>
    </w:p>
    <w:p>
      <w:pPr>
        <w:pStyle w:val="TextBody"/>
        <w:bidi w:val="0"/>
        <w:spacing w:lineRule="auto" w:line="288" w:before="0" w:after="0"/>
        <w:ind w:left="0" w:right="0" w:hanging="180"/>
        <w:jc w:val="both"/>
        <w:rPr/>
      </w:pPr>
      <w:r>
        <w:rPr>
          <w:rFonts w:ascii="Times New Roman;serif" w:hAnsi="Times New Roman;serif"/>
          <w:b w:val="false"/>
          <w:color w:val="000000"/>
          <w:sz w:val="10"/>
        </w:rPr>
        <w:t>(B)</w:t>
      </w:r>
      <w:r>
        <w:rPr>
          <w:color w:val="000000"/>
        </w:rPr>
        <w:t>    </w:t>
      </w:r>
      <w:r>
        <w:rPr>
          <w:rFonts w:ascii="Times New Roman;serif" w:hAnsi="Times New Roman;serif"/>
          <w:b w:val="false"/>
          <w:color w:val="000000"/>
          <w:sz w:val="16"/>
        </w:rPr>
        <w:t>Options expire on the 10</w:t>
      </w:r>
      <w:r>
        <w:rPr>
          <w:rFonts w:ascii="Times New Roman;serif" w:hAnsi="Times New Roman;serif"/>
          <w:b w:val="false"/>
          <w:color w:val="000000"/>
          <w:sz w:val="10"/>
        </w:rPr>
        <w:t>th</w:t>
      </w:r>
      <w:r>
        <w:rPr>
          <w:color w:val="000000"/>
        </w:rPr>
        <w:t xml:space="preserve"> </w:t>
      </w:r>
      <w:r>
        <w:rPr>
          <w:rFonts w:ascii="Times New Roman;serif" w:hAnsi="Times New Roman;serif"/>
          <w:b w:val="false"/>
          <w:color w:val="000000"/>
          <w:sz w:val="16"/>
        </w:rPr>
        <w:t>anniversary of the original grant.</w:t>
      </w:r>
    </w:p>
    <w:p>
      <w:pPr>
        <w:pStyle w:val="TextBody"/>
        <w:bidi w:val="0"/>
        <w:spacing w:lineRule="auto" w:line="288" w:before="0" w:after="180"/>
        <w:ind w:left="0" w:right="0" w:hanging="180"/>
        <w:jc w:val="both"/>
        <w:rPr/>
      </w:pPr>
      <w:r>
        <w:rPr>
          <w:rFonts w:ascii="Times New Roman;serif" w:hAnsi="Times New Roman;serif"/>
          <w:b w:val="false"/>
          <w:color w:val="000000"/>
          <w:sz w:val="10"/>
        </w:rPr>
        <w:t>(C)</w:t>
      </w:r>
      <w:r>
        <w:rPr>
          <w:color w:val="000000"/>
        </w:rPr>
        <w:t>    </w:t>
      </w:r>
      <w:r>
        <w:rPr>
          <w:rFonts w:ascii="Times New Roman;serif" w:hAnsi="Times New Roman;serif"/>
          <w:b w:val="false"/>
          <w:color w:val="000000"/>
          <w:sz w:val="16"/>
        </w:rPr>
        <w:t>For the year ended December 31, 2025, the Company used risk-free rates, estimated common stock volatility, expected term, and dividend yield as inputs and the fair value of the Company’s common stock as a key input to estimate the grant date fair value using the Black-Scholes method. The Company does not assume dividend payments, as it does not pay dividends, and estimates common stock volatilities using the average historical volatility of a peer group of companies for the period immediately preceding the option grant for a term that is approximately equal to the option’s expected term. The Company estimates the grant-date fair value of awards using the contractual term of award, if any, including discounts for applicable post-vesting restrictions such as remaining in the service to the business except as otherwise amended estimated using Black-Scholes method.</w:t>
      </w:r>
    </w:p>
    <w:p>
      <w:pPr>
        <w:pStyle w:val="TextBody"/>
        <w:bidi w:val="0"/>
        <w:spacing w:lineRule="auto" w:line="288" w:before="0" w:after="180"/>
        <w:ind w:left="0" w:right="0" w:hanging="180"/>
        <w:jc w:val="both"/>
        <w:rPr>
          <w:rFonts w:ascii="Times New Roman;serif" w:hAnsi="Times New Roman;serif"/>
          <w:b w:val="false"/>
          <w:color w:val="000000"/>
          <w:sz w:val="20"/>
        </w:rPr>
      </w:pPr>
      <w:r>
        <w:rPr>
          <w:rFonts w:ascii="Times New Roman;serif" w:hAnsi="Times New Roman;serif"/>
          <w:b w:val="false"/>
          <w:color w:val="000000"/>
          <w:sz w:val="20"/>
        </w:rPr>
        <w:t>The grant date assumptions of the stock options are as follows:</w:t>
      </w:r>
    </w:p>
    <w:tbl>
      <w:tblPr>
        <w:tblW w:w="8282" w:type="dxa"/>
        <w:jc w:val="left"/>
        <w:tblInd w:w="0" w:type="dxa"/>
        <w:tblLayout w:type="fixed"/>
        <w:tblCellMar>
          <w:top w:w="28" w:type="dxa"/>
          <w:left w:w="28" w:type="dxa"/>
          <w:bottom w:w="28" w:type="dxa"/>
          <w:right w:w="28" w:type="dxa"/>
        </w:tblCellMar>
      </w:tblPr>
      <w:tblGrid>
        <w:gridCol w:w="428"/>
        <w:gridCol w:w="377"/>
        <w:gridCol w:w="379"/>
        <w:gridCol w:w="196"/>
        <w:gridCol w:w="466"/>
        <w:gridCol w:w="241"/>
        <w:gridCol w:w="109"/>
        <w:gridCol w:w="109"/>
        <w:gridCol w:w="109"/>
        <w:gridCol w:w="196"/>
        <w:gridCol w:w="466"/>
        <w:gridCol w:w="241"/>
        <w:gridCol w:w="109"/>
        <w:gridCol w:w="109"/>
        <w:gridCol w:w="109"/>
        <w:gridCol w:w="196"/>
        <w:gridCol w:w="466"/>
        <w:gridCol w:w="241"/>
        <w:gridCol w:w="109"/>
        <w:gridCol w:w="109"/>
        <w:gridCol w:w="109"/>
        <w:gridCol w:w="196"/>
        <w:gridCol w:w="466"/>
        <w:gridCol w:w="241"/>
        <w:gridCol w:w="109"/>
        <w:gridCol w:w="109"/>
        <w:gridCol w:w="109"/>
        <w:gridCol w:w="196"/>
        <w:gridCol w:w="466"/>
        <w:gridCol w:w="241"/>
        <w:gridCol w:w="109"/>
        <w:gridCol w:w="109"/>
        <w:gridCol w:w="109"/>
        <w:gridCol w:w="196"/>
        <w:gridCol w:w="466"/>
        <w:gridCol w:w="286"/>
      </w:tblGrid>
      <w:tr>
        <w:trPr/>
        <w:tc>
          <w:tcPr>
            <w:tcW w:w="428"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 2024</w:t>
            </w:r>
          </w:p>
        </w:tc>
      </w:tr>
      <w:tr>
        <w:trPr/>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Low</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High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Weighted </w:t>
              <w:br/>
              <w:t>Average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Low</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High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 xml:space="preserve">Weighted </w:t>
              <w:br/>
              <w:t>Average</w:t>
            </w:r>
          </w:p>
        </w:tc>
      </w:tr>
      <w:tr>
        <w:trPr/>
        <w:tc>
          <w:tcPr>
            <w:tcW w:w="1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Expected Term</w:t>
            </w:r>
          </w:p>
        </w:tc>
        <w:tc>
          <w:tcPr>
            <w:tcW w:w="9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16"/>
              </w:rPr>
            </w:pPr>
            <w:r>
              <w:rPr>
                <w:rFonts w:ascii="Times New Roman;serif" w:hAnsi="Times New Roman;serif"/>
                <w:b w:val="false"/>
                <w:color w:val="000000"/>
                <w:sz w:val="16"/>
              </w:rPr>
              <w:t>5.7</w:t>
            </w:r>
          </w:p>
        </w:tc>
      </w:tr>
      <w:tr>
        <w:trPr/>
        <w:tc>
          <w:tcPr>
            <w:tcW w:w="1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Volatility</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33.0</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58.5</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58.3</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44.9</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45.9</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45.3</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Rate</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Dividend Yield</w:t>
            </w:r>
          </w:p>
        </w:tc>
        <w:tc>
          <w:tcPr>
            <w:tcW w:w="9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16"/>
              </w:rPr>
            </w:pPr>
            <w:r>
              <w:rPr>
                <w:rFonts w:ascii="Times New Roman;serif" w:hAnsi="Times New Roman;serif"/>
                <w:b w:val="false"/>
                <w:color w:val="000000"/>
                <w:sz w:val="16"/>
              </w:rPr>
              <w:t>n.a.</w:t>
            </w:r>
          </w:p>
        </w:tc>
      </w:tr>
      <w:tr>
        <w:trPr/>
        <w:tc>
          <w:tcPr>
            <w:tcW w:w="1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Fair Value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2025 Incentive Award Plan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part of the IPO, the Company adopted the 2025 Incentive Award Plan (“2025 Plan”) in order to facilitate the grant of equity incentives to directors, employees (including named officers), and consultants of the Company. The 2025 Plan authorizes the issuance of 22,985,926 of Class A or Class B common stock of FTS, subject to an automatic increase on January 1 of each calendar year from January 1, 2026 through and including January 1, 2035, by a number of shares equal to the lesser of (i) 5% of the total shares of the aggregate number of shares of Class A common stock and Class B common stock outstanding (on an as-converted basis) as of the last day of the immediately preceding fiscal year and (ii) such smaller number of shares as determined by the board. Awards under the 2025 Plan may be granted in the form of incentive stock options, non-qualified stock options, stock appreciation rights, and restricted stock, RSUs, stock payments, and other incentive awards and cash awards. As of December 31, 2025, the Company had granted awards equivalent to 1,017,792 and 8,535,845 shares of Class A and Class B common stock, respectively, gross of forfeited and delivered awards under the 2025 Plan.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293370"/>
                <wp:effectExtent l="0" t="0" r="0" b="0"/>
                <wp:wrapNone/>
                <wp:docPr id="167" name="Frame165"/>
                <a:graphic xmlns:a="http://schemas.openxmlformats.org/drawingml/2006/main">
                  <a:graphicData uri="http://schemas.microsoft.com/office/word/2010/wordprocessingShape">
                    <wps:wsp>
                      <wps:cNvSpPr txBox="1"/>
                      <wps:spPr>
                        <a:xfrm>
                          <a:off x="0" y="0"/>
                          <a:ext cx="6480175" cy="293370"/>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165</w:t>
                            </w:r>
                          </w:p>
                          <w:p>
                            <w:pPr>
                              <w:pStyle w:val="TextBody"/>
                              <w:bidi w:val="0"/>
                              <w:spacing w:lineRule="auto" w:line="288" w:before="0" w:after="180"/>
                              <w:jc w:val="left"/>
                              <w:rPr/>
                            </w:pPr>
                            <w:hyperlink w:anchor="i8e13d1b6f3764394b0e424082d2ac79f_151">
                              <w:r>
                                <w:rPr>
                                  <w:rStyle w:val="InternetLink"/>
                                  <w:rFonts w:ascii="Times New Roman;serif" w:hAnsi="Times New Roman;serif"/>
                                  <w:b w:val="false"/>
                                  <w:color w:val="0000FF"/>
                                  <w:sz w:val="20"/>
                                  <w:u w:val="single"/>
                                </w:rPr>
                                <w:t>Table of Contents</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165</w:t>
                      </w:r>
                    </w:p>
                    <w:p>
                      <w:pPr>
                        <w:pStyle w:val="TextBody"/>
                        <w:bidi w:val="0"/>
                        <w:spacing w:lineRule="auto" w:line="288" w:before="0" w:after="180"/>
                        <w:jc w:val="left"/>
                        <w:rPr/>
                      </w:pPr>
                      <w:hyperlink w:anchor="i8e13d1b6f3764394b0e424082d2ac79f_151">
                        <w:r>
                          <w:rPr>
                            <w:rStyle w:val="InternetLink"/>
                            <w:rFonts w:ascii="Times New Roman;serif" w:hAnsi="Times New Roman;serif"/>
                            <w:b w:val="false"/>
                            <w:color w:val="0000FF"/>
                            <w:sz w:val="20"/>
                            <w:u w:val="single"/>
                          </w:rPr>
                          <w:t>Table of Contents</w:t>
                        </w:r>
                      </w:hyperlink>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FIGURE TECHNOLOGY SOLUTIONS,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tables in thousands, except share and per share data, units, ratios or as otherwise noted)</w:t>
      </w:r>
    </w:p>
    <w:p>
      <w:pPr>
        <w:pStyle w:val="TextBody"/>
        <w:bidi w:val="0"/>
        <w:spacing w:before="0" w:after="180"/>
        <w:jc w:val="center"/>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reflects the activities of stock options granted under the 2025 Plan for the year ended December 31, 2025; there was no activity in the years ended December 31, 2024 and 2023.</w:t>
      </w:r>
    </w:p>
    <w:tbl>
      <w:tblPr>
        <w:tblW w:w="10173" w:type="dxa"/>
        <w:jc w:val="left"/>
        <w:tblInd w:w="0" w:type="dxa"/>
        <w:tblLayout w:type="fixed"/>
        <w:tblCellMar>
          <w:top w:w="28" w:type="dxa"/>
          <w:left w:w="28" w:type="dxa"/>
          <w:bottom w:w="28" w:type="dxa"/>
          <w:right w:w="28" w:type="dxa"/>
        </w:tblCellMar>
      </w:tblPr>
      <w:tblGrid>
        <w:gridCol w:w="923"/>
        <w:gridCol w:w="812"/>
        <w:gridCol w:w="814"/>
        <w:gridCol w:w="499"/>
        <w:gridCol w:w="499"/>
        <w:gridCol w:w="501"/>
        <w:gridCol w:w="109"/>
        <w:gridCol w:w="109"/>
        <w:gridCol w:w="109"/>
        <w:gridCol w:w="287"/>
        <w:gridCol w:w="814"/>
        <w:gridCol w:w="159"/>
        <w:gridCol w:w="109"/>
        <w:gridCol w:w="109"/>
        <w:gridCol w:w="109"/>
        <w:gridCol w:w="644"/>
        <w:gridCol w:w="644"/>
        <w:gridCol w:w="646"/>
        <w:gridCol w:w="109"/>
        <w:gridCol w:w="109"/>
        <w:gridCol w:w="109"/>
        <w:gridCol w:w="422"/>
        <w:gridCol w:w="1197"/>
        <w:gridCol w:w="331"/>
      </w:tblGrid>
      <w:tr>
        <w:trPr/>
        <w:tc>
          <w:tcPr>
            <w:tcW w:w="923"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Weighted-Average</w:t>
            </w:r>
          </w:p>
        </w:tc>
      </w:tr>
      <w:tr>
        <w:trPr/>
        <w:tc>
          <w:tcPr>
            <w:tcW w:w="2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Exercise Price</w:t>
            </w:r>
            <w:r>
              <w:rPr>
                <w:rFonts w:ascii="Times New Roman;serif" w:hAnsi="Times New Roman;serif"/>
                <w:b/>
                <w:color w:val="000000"/>
                <w:sz w:val="10"/>
              </w:rPr>
              <w: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Remaining Life (Years)</w:t>
            </w:r>
            <w:r>
              <w:rPr>
                <w:rFonts w:ascii="Times New Roman;serif" w:hAnsi="Times New Roman;serif"/>
                <w:b/>
                <w:color w:val="000000"/>
                <w:sz w:val="10"/>
              </w:rPr>
              <w:t>(B)</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Grant Date Fair Value</w:t>
            </w:r>
            <w:r>
              <w:rPr>
                <w:rFonts w:ascii="Times New Roman;serif" w:hAnsi="Times New Roman;serif"/>
                <w:b/>
                <w:color w:val="000000"/>
                <w:sz w:val="10"/>
              </w:rPr>
              <w:t>(C)</w:t>
            </w:r>
          </w:p>
        </w:tc>
      </w:tr>
      <w:tr>
        <w:trPr/>
        <w:tc>
          <w:tcPr>
            <w:tcW w:w="2549"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0" w:type="dxa"/>
            <w:gridSpan w:val="3"/>
            <w:tcBorders/>
            <w:vAlign w:val="center"/>
          </w:tcPr>
          <w:p>
            <w:pPr>
              <w:pStyle w:val="TableContents"/>
              <w:bidi w:val="0"/>
              <w:spacing w:before="0" w:after="283"/>
              <w:jc w:val="left"/>
              <w:rPr>
                <w:sz w:val="4"/>
                <w:szCs w:val="4"/>
              </w:rPr>
            </w:pPr>
            <w:r>
              <w:rPr>
                <w:sz w:val="4"/>
                <w:szCs w:val="4"/>
              </w:rPr>
            </w:r>
          </w:p>
        </w:tc>
      </w:tr>
      <w:tr>
        <w:trPr/>
        <w:tc>
          <w:tcPr>
            <w:tcW w:w="2549"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0" w:type="dxa"/>
            <w:gridSpan w:val="3"/>
            <w:tcBorders/>
            <w:vAlign w:val="center"/>
          </w:tcPr>
          <w:p>
            <w:pPr>
              <w:pStyle w:val="TableContents"/>
              <w:bidi w:val="0"/>
              <w:spacing w:before="0" w:after="283"/>
              <w:jc w:val="left"/>
              <w:rPr>
                <w:sz w:val="4"/>
                <w:szCs w:val="4"/>
              </w:rPr>
            </w:pPr>
            <w:r>
              <w:rPr>
                <w:sz w:val="4"/>
                <w:szCs w:val="4"/>
              </w:rPr>
            </w:r>
          </w:p>
        </w:tc>
      </w:tr>
      <w:tr>
        <w:trPr/>
        <w:tc>
          <w:tcPr>
            <w:tcW w:w="2549"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0" w:type="dxa"/>
            <w:gridSpan w:val="3"/>
            <w:tcBorders/>
            <w:vAlign w:val="center"/>
          </w:tcPr>
          <w:p>
            <w:pPr>
              <w:pStyle w:val="TableContents"/>
              <w:bidi w:val="0"/>
              <w:spacing w:before="0" w:after="283"/>
              <w:jc w:val="left"/>
              <w:rPr>
                <w:sz w:val="4"/>
                <w:szCs w:val="4"/>
              </w:rPr>
            </w:pPr>
            <w:r>
              <w:rPr>
                <w:sz w:val="4"/>
                <w:szCs w:val="4"/>
              </w:rPr>
            </w:r>
          </w:p>
        </w:tc>
      </w:tr>
      <w:tr>
        <w:trPr/>
        <w:tc>
          <w:tcPr>
            <w:tcW w:w="2549"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0" w:type="dxa"/>
            <w:gridSpan w:val="3"/>
            <w:tcBorders/>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Outstanding at December 31, 2024</w:t>
            </w:r>
          </w:p>
        </w:tc>
        <w:tc>
          <w:tcPr>
            <w:tcW w:w="9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Granted</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3,200,942 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14.26 </w:t>
            </w:r>
          </w:p>
        </w:tc>
        <w:tc>
          <w:tcPr>
            <w:tcW w:w="33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Exercised</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Forfeited and cancelled</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Outstanding at December 31, 2025</w:t>
            </w:r>
          </w:p>
        </w:tc>
        <w:tc>
          <w:tcPr>
            <w:tcW w:w="9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3,200,942 </w:t>
            </w:r>
          </w:p>
        </w:tc>
        <w:tc>
          <w:tcPr>
            <w:tcW w:w="5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25.00 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14.26 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At December 31, 2025</w:t>
            </w:r>
          </w:p>
        </w:tc>
        <w:tc>
          <w:tcPr>
            <w:tcW w:w="14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Options Exercisable</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200,058 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14.26 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both"/>
        <w:rPr/>
      </w:pPr>
      <w:r>
        <w:rPr>
          <w:rFonts w:ascii="Times New Roman;serif" w:hAnsi="Times New Roman;serif"/>
          <w:b w:val="false"/>
          <w:color w:val="000000"/>
          <w:sz w:val="10"/>
        </w:rPr>
        <w:t>(A)</w:t>
      </w:r>
      <w:r>
        <w:rPr>
          <w:color w:val="000000"/>
        </w:rPr>
        <w:t>    </w:t>
      </w:r>
      <w:r>
        <w:rPr>
          <w:rFonts w:ascii="Times New Roman;serif" w:hAnsi="Times New Roman;serif"/>
          <w:b w:val="false"/>
          <w:color w:val="000000"/>
          <w:sz w:val="16"/>
        </w:rPr>
        <w:t>The aggregate intrinsic value of options is calculated as the difference between the exercise price of the options and the estimated fair value of the issuing entity’s common shares, which was $15.84 per common share of FTS, respectively, at December 31, 2025.</w:t>
      </w:r>
    </w:p>
    <w:p>
      <w:pPr>
        <w:pStyle w:val="TextBody"/>
        <w:bidi w:val="0"/>
        <w:spacing w:lineRule="auto" w:line="288" w:before="0" w:after="0"/>
        <w:ind w:left="0" w:right="0" w:hanging="180"/>
        <w:jc w:val="both"/>
        <w:rPr/>
      </w:pPr>
      <w:r>
        <w:rPr>
          <w:rFonts w:ascii="Times New Roman;serif" w:hAnsi="Times New Roman;serif"/>
          <w:b w:val="false"/>
          <w:color w:val="000000"/>
          <w:sz w:val="10"/>
        </w:rPr>
        <w:t>(B)    </w:t>
      </w:r>
      <w:r>
        <w:rPr>
          <w:rFonts w:ascii="Times New Roman;serif" w:hAnsi="Times New Roman;serif"/>
          <w:b w:val="false"/>
          <w:color w:val="000000"/>
          <w:sz w:val="16"/>
        </w:rPr>
        <w:t>Options expire on the 10</w:t>
      </w:r>
      <w:r>
        <w:rPr>
          <w:rFonts w:ascii="Times New Roman;serif" w:hAnsi="Times New Roman;serif"/>
          <w:b w:val="false"/>
          <w:color w:val="000000"/>
          <w:sz w:val="10"/>
        </w:rPr>
        <w:t>th</w:t>
      </w:r>
      <w:r>
        <w:rPr>
          <w:color w:val="000000"/>
        </w:rPr>
        <w:t xml:space="preserve"> </w:t>
      </w:r>
      <w:r>
        <w:rPr>
          <w:rFonts w:ascii="Times New Roman;serif" w:hAnsi="Times New Roman;serif"/>
          <w:b w:val="false"/>
          <w:color w:val="000000"/>
          <w:sz w:val="16"/>
        </w:rPr>
        <w:t>anniversary of the original grant.</w:t>
      </w:r>
    </w:p>
    <w:p>
      <w:pPr>
        <w:pStyle w:val="TextBody"/>
        <w:bidi w:val="0"/>
        <w:spacing w:lineRule="auto" w:line="288" w:before="0" w:after="180"/>
        <w:ind w:left="0" w:right="0" w:hanging="180"/>
        <w:jc w:val="both"/>
        <w:rPr/>
      </w:pPr>
      <w:r>
        <w:rPr>
          <w:rFonts w:ascii="Times New Roman;serif" w:hAnsi="Times New Roman;serif"/>
          <w:b w:val="false"/>
          <w:color w:val="000000"/>
          <w:sz w:val="10"/>
        </w:rPr>
        <w:t>(C)    </w:t>
      </w:r>
      <w:r>
        <w:rPr>
          <w:rFonts w:ascii="Times New Roman;serif" w:hAnsi="Times New Roman;serif"/>
          <w:b w:val="false"/>
          <w:color w:val="000000"/>
          <w:sz w:val="16"/>
        </w:rPr>
        <w:t>For the year ended December 31, 2025, the Company used risk-free rates, estimated common stock volatility, expected term, and dividend yield as inputs and the fair value of the Company’s common stock as a key input to estimate the grant date fair value using the Black-Scholes method. The Company does not assume dividend payments, as it does not pay dividends, and estimates common stock volatilities using the average historical volatility of a peer group of companies for the period immediately preceding the option grant for a term that is approximately equal to the option’s expected term. The Company estimates the grant-date fair value of awards using the contractual term of award, if any, including discounts for applicable post-vesting restrictions such as remaining in the service to the business except as otherwise amended estimated using Black-Scholes method.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grant date assumptions of the stock options granted under the 2025 Plan are as follows:</w:t>
      </w:r>
    </w:p>
    <w:tbl>
      <w:tblPr>
        <w:tblW w:w="5516" w:type="dxa"/>
        <w:jc w:val="left"/>
        <w:tblInd w:w="0" w:type="dxa"/>
        <w:tblLayout w:type="fixed"/>
        <w:tblCellMar>
          <w:top w:w="28" w:type="dxa"/>
          <w:left w:w="28" w:type="dxa"/>
          <w:bottom w:w="28" w:type="dxa"/>
          <w:right w:w="28" w:type="dxa"/>
        </w:tblCellMar>
      </w:tblPr>
      <w:tblGrid>
        <w:gridCol w:w="428"/>
        <w:gridCol w:w="377"/>
        <w:gridCol w:w="379"/>
        <w:gridCol w:w="196"/>
        <w:gridCol w:w="556"/>
        <w:gridCol w:w="241"/>
        <w:gridCol w:w="109"/>
        <w:gridCol w:w="109"/>
        <w:gridCol w:w="109"/>
        <w:gridCol w:w="196"/>
        <w:gridCol w:w="556"/>
        <w:gridCol w:w="241"/>
        <w:gridCol w:w="109"/>
        <w:gridCol w:w="109"/>
        <w:gridCol w:w="109"/>
        <w:gridCol w:w="196"/>
        <w:gridCol w:w="556"/>
        <w:gridCol w:w="241"/>
        <w:gridCol w:w="109"/>
        <w:gridCol w:w="109"/>
        <w:gridCol w:w="109"/>
        <w:gridCol w:w="109"/>
        <w:gridCol w:w="109"/>
        <w:gridCol w:w="154"/>
      </w:tblGrid>
      <w:tr>
        <w:trPr/>
        <w:tc>
          <w:tcPr>
            <w:tcW w:w="428"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Low</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High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Weighted </w:t>
              <w:br/>
              <w:t>Average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Expected Term</w:t>
            </w:r>
          </w:p>
        </w:tc>
        <w:tc>
          <w:tcPr>
            <w:tcW w:w="9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Volatility</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57.3</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57.3</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57.3</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Rate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Dividend Yield</w:t>
            </w:r>
          </w:p>
        </w:tc>
        <w:tc>
          <w:tcPr>
            <w:tcW w:w="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Fair Value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reflects the activities of RSU awards granted under the 2025 Plan for the year ended December 31, 2025; there was no activity in the years ended December 31, 2024 and 2023.</w:t>
      </w:r>
    </w:p>
    <w:tbl>
      <w:tblPr>
        <w:tblW w:w="7210" w:type="dxa"/>
        <w:jc w:val="left"/>
        <w:tblInd w:w="0" w:type="dxa"/>
        <w:tblLayout w:type="fixed"/>
        <w:tblCellMar>
          <w:top w:w="28" w:type="dxa"/>
          <w:left w:w="28" w:type="dxa"/>
          <w:bottom w:w="28" w:type="dxa"/>
          <w:right w:w="28" w:type="dxa"/>
        </w:tblCellMar>
      </w:tblPr>
      <w:tblGrid>
        <w:gridCol w:w="852"/>
        <w:gridCol w:w="750"/>
        <w:gridCol w:w="753"/>
        <w:gridCol w:w="439"/>
        <w:gridCol w:w="439"/>
        <w:gridCol w:w="441"/>
        <w:gridCol w:w="109"/>
        <w:gridCol w:w="109"/>
        <w:gridCol w:w="109"/>
        <w:gridCol w:w="694"/>
        <w:gridCol w:w="1970"/>
        <w:gridCol w:w="545"/>
      </w:tblGrid>
      <w:tr>
        <w:trPr/>
        <w:tc>
          <w:tcPr>
            <w:tcW w:w="852"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970"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RSUs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Grant Date Fair Value</w:t>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Unvested at December 31, 2024</w:t>
            </w:r>
          </w:p>
        </w:tc>
        <w:tc>
          <w:tcPr>
            <w:tcW w:w="8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9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Granted</w:t>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6,352,695 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26.95 </w:t>
            </w:r>
          </w:p>
        </w:tc>
        <w:tc>
          <w:tcPr>
            <w:tcW w:w="54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Vested</w:t>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(438,752)</w:t>
            </w:r>
          </w:p>
        </w:tc>
        <w:tc>
          <w:tcPr>
            <w:tcW w:w="4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31.70 </w:t>
            </w:r>
          </w:p>
        </w:tc>
        <w:tc>
          <w:tcPr>
            <w:tcW w:w="54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Forfeited and cancelled</w:t>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Unvested at December 31, 2025</w:t>
            </w:r>
          </w:p>
        </w:tc>
        <w:tc>
          <w:tcPr>
            <w:tcW w:w="87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5,913,943 </w:t>
            </w:r>
          </w:p>
        </w:tc>
        <w:tc>
          <w:tcPr>
            <w:tcW w:w="4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9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27.09 </w:t>
            </w:r>
          </w:p>
        </w:tc>
        <w:tc>
          <w:tcPr>
            <w:tcW w:w="5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293370"/>
                <wp:effectExtent l="0" t="0" r="0" b="0"/>
                <wp:wrapNone/>
                <wp:docPr id="168" name="Frame166"/>
                <a:graphic xmlns:a="http://schemas.openxmlformats.org/drawingml/2006/main">
                  <a:graphicData uri="http://schemas.microsoft.com/office/word/2010/wordprocessingShape">
                    <wps:wsp>
                      <wps:cNvSpPr txBox="1"/>
                      <wps:spPr>
                        <a:xfrm>
                          <a:off x="0" y="0"/>
                          <a:ext cx="6480175" cy="293370"/>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166</w:t>
                            </w:r>
                          </w:p>
                          <w:p>
                            <w:pPr>
                              <w:pStyle w:val="TextBody"/>
                              <w:bidi w:val="0"/>
                              <w:spacing w:lineRule="auto" w:line="288" w:before="0" w:after="180"/>
                              <w:jc w:val="left"/>
                              <w:rPr/>
                            </w:pPr>
                            <w:hyperlink w:anchor="i8e13d1b6f3764394b0e424082d2ac79f_151">
                              <w:r>
                                <w:rPr>
                                  <w:rStyle w:val="InternetLink"/>
                                  <w:rFonts w:ascii="Times New Roman;serif" w:hAnsi="Times New Roman;serif"/>
                                  <w:b w:val="false"/>
                                  <w:color w:val="0000FF"/>
                                  <w:sz w:val="20"/>
                                  <w:u w:val="single"/>
                                </w:rPr>
                                <w:t>Table of Contents</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166</w:t>
                      </w:r>
                    </w:p>
                    <w:p>
                      <w:pPr>
                        <w:pStyle w:val="TextBody"/>
                        <w:bidi w:val="0"/>
                        <w:spacing w:lineRule="auto" w:line="288" w:before="0" w:after="180"/>
                        <w:jc w:val="left"/>
                        <w:rPr/>
                      </w:pPr>
                      <w:hyperlink w:anchor="i8e13d1b6f3764394b0e424082d2ac79f_151">
                        <w:r>
                          <w:rPr>
                            <w:rStyle w:val="InternetLink"/>
                            <w:rFonts w:ascii="Times New Roman;serif" w:hAnsi="Times New Roman;serif"/>
                            <w:b w:val="false"/>
                            <w:color w:val="0000FF"/>
                            <w:sz w:val="20"/>
                            <w:u w:val="single"/>
                          </w:rPr>
                          <w:t>Table of Contents</w:t>
                        </w:r>
                      </w:hyperlink>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FIGURE TECHNOLOGY SOLUTIONS,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tables in thousands, except share and per share data, units, ratios or as otherwise noted)</w:t>
      </w:r>
    </w:p>
    <w:p>
      <w:pPr>
        <w:pStyle w:val="TextBody"/>
        <w:bidi w:val="0"/>
        <w:spacing w:before="0" w:after="180"/>
        <w:jc w:val="center"/>
        <w:rPr/>
      </w:pPr>
      <w:r>
        <w:rPr/>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2025 Employee Stock Purchase Plan (“ESPP”)</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connection with the IPO, the Company adopted the ESPP under which eligible employees may purchase shares of Class A common stock of FTS, up to a maximum percentage of their eligible compensation (which shall be 20% unless otherwise specified in an applicable offering document), subject to certain IRS and share purchase limitations, at 85% of the lower of the closing price (fair market value) of a share of FTS on the first day of the offering period or the purchase date, whichever is lower. As of December 31, 2025, there have been no offering periods under the ESPP program. The maximum aggregate number of shares that may be subject to awards and sold under the ESPP is 2,133,961 shares, subject to an automatic annual increase on the first day of each calendar year beginning in 2026 and ending on and including January 1, 2035 in an amount equal to the lesser of (i) one percent (1%) of the aggregate number of shares of Class A common stock and Class B common stock of FTS outstanding (on an as-converted basis) on the final day of the immediately preceding calendar year and (ii) such smaller number of shares as determined by the Board.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pPr>
      <w:r>
        <w:rPr>
          <w:rFonts w:ascii="Times New Roman;serif" w:hAnsi="Times New Roman;serif"/>
          <w:b w:val="false"/>
          <w:i/>
          <w:color w:val="000000"/>
          <w:sz w:val="20"/>
        </w:rPr>
        <w:t>Unrecognized Compensation Expense</w:t>
      </w:r>
      <w:r>
        <w:rPr>
          <w:color w:val="000000"/>
        </w:rPr>
        <w:t xml:space="preserve">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At December 31, 2025, the Company has not yet recognized compensation expense for the following awards:</w:t>
      </w:r>
    </w:p>
    <w:tbl>
      <w:tblPr>
        <w:tblW w:w="10205" w:type="dxa"/>
        <w:jc w:val="left"/>
        <w:tblInd w:w="0" w:type="dxa"/>
        <w:tblLayout w:type="fixed"/>
        <w:tblCellMar>
          <w:top w:w="28" w:type="dxa"/>
          <w:left w:w="28" w:type="dxa"/>
          <w:bottom w:w="28" w:type="dxa"/>
          <w:right w:w="28" w:type="dxa"/>
        </w:tblCellMar>
      </w:tblPr>
      <w:tblGrid>
        <w:gridCol w:w="450"/>
        <w:gridCol w:w="322"/>
        <w:gridCol w:w="323"/>
        <w:gridCol w:w="568"/>
        <w:gridCol w:w="568"/>
        <w:gridCol w:w="570"/>
        <w:gridCol w:w="109"/>
        <w:gridCol w:w="109"/>
        <w:gridCol w:w="109"/>
        <w:gridCol w:w="435"/>
        <w:gridCol w:w="436"/>
        <w:gridCol w:w="226"/>
        <w:gridCol w:w="109"/>
        <w:gridCol w:w="109"/>
        <w:gridCol w:w="109"/>
        <w:gridCol w:w="435"/>
        <w:gridCol w:w="436"/>
        <w:gridCol w:w="166"/>
        <w:gridCol w:w="109"/>
        <w:gridCol w:w="109"/>
        <w:gridCol w:w="109"/>
        <w:gridCol w:w="109"/>
        <w:gridCol w:w="109"/>
        <w:gridCol w:w="480"/>
        <w:gridCol w:w="481"/>
        <w:gridCol w:w="137"/>
        <w:gridCol w:w="132"/>
        <w:gridCol w:w="132"/>
        <w:gridCol w:w="132"/>
        <w:gridCol w:w="238"/>
        <w:gridCol w:w="787"/>
        <w:gridCol w:w="132"/>
        <w:gridCol w:w="109"/>
        <w:gridCol w:w="109"/>
        <w:gridCol w:w="109"/>
        <w:gridCol w:w="196"/>
        <w:gridCol w:w="736"/>
        <w:gridCol w:w="161"/>
      </w:tblGrid>
      <w:tr>
        <w:trPr/>
        <w:tc>
          <w:tcPr>
            <w:tcW w:w="45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09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Vesting Condition</w:t>
            </w:r>
          </w:p>
        </w:tc>
        <w:tc>
          <w:tcPr>
            <w:tcW w:w="170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Recognition Period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7"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Unrecognized Compensation Expense</w:t>
            </w:r>
          </w:p>
        </w:tc>
        <w:tc>
          <w:tcPr>
            <w:tcW w:w="1420" w:type="dxa"/>
            <w:gridSpan w:val="6"/>
            <w:tcBorders/>
          </w:tcPr>
          <w:p>
            <w:pPr>
              <w:pStyle w:val="TableContents"/>
              <w:bidi w:val="0"/>
              <w:spacing w:before="0" w:after="283"/>
              <w:jc w:val="left"/>
              <w:rPr>
                <w:sz w:val="4"/>
                <w:szCs w:val="4"/>
              </w:rPr>
            </w:pPr>
            <w:r>
              <w:rPr>
                <w:sz w:val="4"/>
                <w:szCs w:val="4"/>
              </w:rPr>
            </w:r>
          </w:p>
        </w:tc>
      </w:tr>
      <w:tr>
        <w:trPr/>
        <w:tc>
          <w:tcPr>
            <w:tcW w:w="1095" w:type="dxa"/>
            <w:gridSpan w:val="3"/>
            <w:vMerge w:val="continue"/>
            <w:tcBorders/>
            <w:tcMar>
              <w:top w:w="0" w:type="dxa"/>
              <w:left w:w="0" w:type="dxa"/>
              <w:bottom w:w="0" w:type="dxa"/>
              <w:right w:w="0" w:type="dxa"/>
            </w:tcMar>
            <w:vAlign w:val="center"/>
          </w:tcPr>
          <w:p>
            <w:pPr>
              <w:pStyle w:val="Normal"/>
              <w:bidi w:val="0"/>
              <w:jc w:val="left"/>
              <w:rPr/>
            </w:pPr>
            <w:r>
              <w:rPr/>
            </w:r>
          </w:p>
        </w:tc>
        <w:tc>
          <w:tcPr>
            <w:tcW w:w="17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Options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RSUs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Options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RSUs</w:t>
            </w:r>
          </w:p>
        </w:tc>
      </w:tr>
      <w:tr>
        <w:trPr/>
        <w:tc>
          <w:tcPr>
            <w:tcW w:w="10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Time-based</w:t>
            </w:r>
            <w:r>
              <w:rPr>
                <w:rFonts w:ascii="Times New Roman;serif" w:hAnsi="Times New Roman;serif"/>
                <w:b w:val="false"/>
                <w:color w:val="000000"/>
                <w:sz w:val="10"/>
              </w:rPr>
              <w:t>(A)</w:t>
            </w:r>
          </w:p>
        </w:tc>
        <w:tc>
          <w:tcPr>
            <w:tcW w:w="17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9,585,559 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3,007,454 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12,593,013 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63,081 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101,264 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Multiple</w:t>
            </w:r>
            <w:r>
              <w:rPr>
                <w:rFonts w:ascii="Times New Roman;serif" w:hAnsi="Times New Roman;serif"/>
                <w:b w:val="false"/>
                <w:color w:val="000000"/>
                <w:sz w:val="10"/>
              </w:rPr>
              <w:t>(A)(B)</w:t>
            </w:r>
          </w:p>
        </w:tc>
        <w:tc>
          <w:tcPr>
            <w:tcW w:w="1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6,512,752 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6,512,752 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49,550 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17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9,585,559 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9,520,206 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19,105,765 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63,081 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150,814 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both"/>
        <w:rPr/>
      </w:pPr>
      <w:r>
        <w:rPr>
          <w:rFonts w:ascii="Times New Roman;serif" w:hAnsi="Times New Roman;serif"/>
          <w:b w:val="false"/>
          <w:color w:val="000000"/>
          <w:sz w:val="10"/>
        </w:rPr>
        <w:t>(A)</w:t>
      </w:r>
      <w:r>
        <w:rPr>
          <w:color w:val="000000"/>
        </w:rPr>
        <w:t>    </w:t>
      </w:r>
      <w:r>
        <w:rPr>
          <w:rFonts w:ascii="Times New Roman;serif" w:hAnsi="Times New Roman;serif"/>
          <w:b w:val="false"/>
          <w:color w:val="000000"/>
          <w:sz w:val="16"/>
        </w:rPr>
        <w:t>Awards typically vest over a period of 1 to 4 years and most awards have a one year cliff vesting feature with quarterly vesting thereafter.</w:t>
      </w:r>
    </w:p>
    <w:p>
      <w:pPr>
        <w:pStyle w:val="TextBody"/>
        <w:bidi w:val="0"/>
        <w:spacing w:lineRule="auto" w:line="288" w:before="0" w:after="180"/>
        <w:ind w:left="0" w:right="0" w:hanging="180"/>
        <w:jc w:val="both"/>
        <w:rPr/>
      </w:pPr>
      <w:r>
        <w:rPr>
          <w:rFonts w:ascii="Times New Roman;serif" w:hAnsi="Times New Roman;serif"/>
          <w:b w:val="false"/>
          <w:color w:val="000000"/>
          <w:sz w:val="10"/>
        </w:rPr>
        <w:t>(B)</w:t>
      </w:r>
      <w:r>
        <w:rPr>
          <w:color w:val="000000"/>
        </w:rPr>
        <w:t>    </w:t>
      </w:r>
      <w:r>
        <w:rPr>
          <w:rFonts w:ascii="Times New Roman;serif" w:hAnsi="Times New Roman;serif"/>
          <w:b w:val="false"/>
          <w:color w:val="000000"/>
          <w:sz w:val="16"/>
        </w:rPr>
        <w:t>Awards include a service period vesting condition, as noted above, as well as market based and liquidity-based vesting conditions. The liquidity event for awards which have that feature has been satisfied in connection with the IPO as of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Noncontrolling Interests in Consolidated Subsidiaries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amounts relate to equity interests held by the third-party investors in a real estate investment trust subsidiary, Figure REIT, Inc. (“Figure REIT”) and the Figure Markets Offshore Opportunity Investment Fund L.P. (“Offshore Solana Fund”) both of which the Company consolidates, but does not wholly-own.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noncontrolling interests included in net income (loss) are computed as follows:</w:t>
      </w:r>
    </w:p>
    <w:tbl>
      <w:tblPr>
        <w:tblW w:w="13666" w:type="dxa"/>
        <w:jc w:val="left"/>
        <w:tblInd w:w="0" w:type="dxa"/>
        <w:tblLayout w:type="fixed"/>
        <w:tblCellMar>
          <w:top w:w="28" w:type="dxa"/>
          <w:left w:w="28" w:type="dxa"/>
          <w:bottom w:w="28" w:type="dxa"/>
          <w:right w:w="28" w:type="dxa"/>
        </w:tblCellMar>
      </w:tblPr>
      <w:tblGrid>
        <w:gridCol w:w="359"/>
        <w:gridCol w:w="194"/>
        <w:gridCol w:w="183"/>
        <w:gridCol w:w="196"/>
        <w:gridCol w:w="571"/>
        <w:gridCol w:w="109"/>
        <w:gridCol w:w="109"/>
        <w:gridCol w:w="109"/>
        <w:gridCol w:w="109"/>
        <w:gridCol w:w="299"/>
        <w:gridCol w:w="299"/>
        <w:gridCol w:w="663"/>
        <w:gridCol w:w="109"/>
        <w:gridCol w:w="109"/>
        <w:gridCol w:w="109"/>
        <w:gridCol w:w="340"/>
        <w:gridCol w:w="731"/>
        <w:gridCol w:w="190"/>
        <w:gridCol w:w="109"/>
        <w:gridCol w:w="109"/>
        <w:gridCol w:w="109"/>
        <w:gridCol w:w="196"/>
        <w:gridCol w:w="646"/>
        <w:gridCol w:w="109"/>
        <w:gridCol w:w="109"/>
        <w:gridCol w:w="109"/>
        <w:gridCol w:w="109"/>
        <w:gridCol w:w="299"/>
        <w:gridCol w:w="299"/>
        <w:gridCol w:w="663"/>
        <w:gridCol w:w="109"/>
        <w:gridCol w:w="109"/>
        <w:gridCol w:w="109"/>
        <w:gridCol w:w="287"/>
        <w:gridCol w:w="814"/>
        <w:gridCol w:w="160"/>
        <w:gridCol w:w="109"/>
        <w:gridCol w:w="109"/>
        <w:gridCol w:w="109"/>
        <w:gridCol w:w="196"/>
        <w:gridCol w:w="571"/>
        <w:gridCol w:w="109"/>
        <w:gridCol w:w="109"/>
        <w:gridCol w:w="109"/>
        <w:gridCol w:w="109"/>
        <w:gridCol w:w="299"/>
        <w:gridCol w:w="299"/>
        <w:gridCol w:w="663"/>
        <w:gridCol w:w="109"/>
        <w:gridCol w:w="109"/>
        <w:gridCol w:w="109"/>
        <w:gridCol w:w="277"/>
        <w:gridCol w:w="809"/>
        <w:gridCol w:w="220"/>
      </w:tblGrid>
      <w:tr>
        <w:trPr/>
        <w:tc>
          <w:tcPr>
            <w:tcW w:w="35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0" w:type="dxa"/>
            <w:gridSpan w:val="51"/>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Years Ended December 31,</w:t>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Income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Non-controlling Interest as a % of Total</w:t>
            </w:r>
            <w:r>
              <w:rPr>
                <w:rFonts w:ascii="Times New Roman;serif" w:hAnsi="Times New Roman;serif"/>
                <w:b/>
                <w:color w:val="000000"/>
                <w:sz w:val="10"/>
              </w:rPr>
              <w: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Non-controlling Interest in Income of Consolidated Subsidiaries</w:t>
            </w:r>
            <w:r>
              <w:rPr>
                <w:rFonts w:ascii="Times New Roman;serif" w:hAnsi="Times New Roman;serif"/>
                <w:b/>
                <w:color w:val="000000"/>
                <w:sz w:val="10"/>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Income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Non-controlling Interest as a % of Total</w:t>
            </w:r>
            <w:r>
              <w:rPr>
                <w:rFonts w:ascii="Times New Roman;serif" w:hAnsi="Times New Roman;serif"/>
                <w:b/>
                <w:color w:val="000000"/>
                <w:sz w:val="10"/>
              </w:rPr>
              <w: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Non-controlling Interest in Income of Consolidated Subsidiaries</w:t>
            </w:r>
            <w:r>
              <w:rPr>
                <w:rFonts w:ascii="Times New Roman;serif" w:hAnsi="Times New Roman;serif"/>
                <w:b/>
                <w:color w:val="000000"/>
                <w:sz w:val="10"/>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Income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Non-controlling Interest as a % of Total</w:t>
            </w:r>
            <w:r>
              <w:rPr>
                <w:rFonts w:ascii="Times New Roman;serif" w:hAnsi="Times New Roman;serif"/>
                <w:b/>
                <w:color w:val="000000"/>
                <w:sz w:val="10"/>
              </w:rPr>
              <w: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Non-controlling Interest in Loss of Consolidated Subsidiaries</w:t>
            </w:r>
            <w:r>
              <w:rPr>
                <w:rFonts w:ascii="Times New Roman;serif" w:hAnsi="Times New Roman;serif"/>
                <w:b/>
                <w:color w:val="000000"/>
                <w:sz w:val="10"/>
              </w:rPr>
              <w:t>(B)</w:t>
            </w:r>
          </w:p>
        </w:tc>
      </w:tr>
      <w:tr>
        <w:trPr/>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Figure REIT</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45.0 </w:t>
            </w:r>
          </w:p>
        </w:tc>
        <w:tc>
          <w:tcPr>
            <w:tcW w:w="6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584 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44.6 </w:t>
            </w:r>
          </w:p>
        </w:tc>
        <w:tc>
          <w:tcPr>
            <w:tcW w:w="6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2,458 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(9,989)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44.6 </w:t>
            </w:r>
          </w:p>
        </w:tc>
        <w:tc>
          <w:tcPr>
            <w:tcW w:w="6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(4,455)</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Offshore Solana Fund</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2.8 </w:t>
            </w:r>
          </w:p>
        </w:tc>
        <w:tc>
          <w:tcPr>
            <w:tcW w:w="6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2.8 </w:t>
            </w:r>
          </w:p>
        </w:tc>
        <w:tc>
          <w:tcPr>
            <w:tcW w:w="6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n.a.</w:t>
            </w:r>
          </w:p>
        </w:tc>
      </w:tr>
      <w:tr>
        <w:trPr/>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(4,427)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423 </w:t>
            </w:r>
          </w:p>
        </w:tc>
        <w:tc>
          <w:tcPr>
            <w:tcW w:w="1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14,136 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2,701 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(9,989)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(4,455)</w:t>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both"/>
        <w:rPr/>
      </w:pPr>
      <w:r>
        <w:rPr>
          <w:rFonts w:ascii="Times New Roman;serif" w:hAnsi="Times New Roman;serif"/>
          <w:b w:val="false"/>
          <w:color w:val="000000"/>
          <w:sz w:val="10"/>
        </w:rPr>
        <w:t>(A)    </w:t>
      </w:r>
      <w:r>
        <w:rPr>
          <w:rFonts w:ascii="Times New Roman;serif" w:hAnsi="Times New Roman;serif"/>
          <w:b w:val="false"/>
          <w:color w:val="000000"/>
          <w:sz w:val="16"/>
        </w:rPr>
        <w:t>Represents the weighted average percentage of total noncontrolling shareholders’ net income (loss) in consolidated subsidiaries throughout the period, which may not agree to the percentages as calculated based on the ending balances presented above.</w:t>
      </w:r>
    </w:p>
    <w:p>
      <w:pPr>
        <w:pStyle w:val="TextBody"/>
        <w:bidi w:val="0"/>
        <w:spacing w:lineRule="auto" w:line="288" w:before="0" w:after="180"/>
        <w:ind w:left="0" w:right="0" w:hanging="180"/>
        <w:jc w:val="both"/>
        <w:rPr/>
      </w:pPr>
      <w:r>
        <w:rPr>
          <w:rFonts w:ascii="Times New Roman;serif" w:hAnsi="Times New Roman;serif"/>
          <w:b w:val="false"/>
          <w:color w:val="000000"/>
          <w:sz w:val="10"/>
        </w:rPr>
        <w:t>(B)    </w:t>
      </w:r>
      <w:r>
        <w:rPr>
          <w:rFonts w:ascii="Times New Roman;serif" w:hAnsi="Times New Roman;serif"/>
          <w:b w:val="false"/>
          <w:color w:val="000000"/>
          <w:sz w:val="16"/>
        </w:rPr>
        <w:t>Balances may not cross-foot due to rounding for presentation purposes in the Noncontrolling Interest as a Percent of Total shown.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noncontrolling interests in the equity of consolidated subsidiaries are computed as follows:</w:t>
      </w:r>
    </w:p>
    <w:tbl>
      <w:tblPr>
        <w:tblW w:w="10205" w:type="dxa"/>
        <w:jc w:val="left"/>
        <w:tblInd w:w="0" w:type="dxa"/>
        <w:tblLayout w:type="fixed"/>
        <w:tblCellMar>
          <w:top w:w="28" w:type="dxa"/>
          <w:left w:w="28" w:type="dxa"/>
          <w:bottom w:w="28" w:type="dxa"/>
          <w:right w:w="28" w:type="dxa"/>
        </w:tblCellMar>
      </w:tblPr>
      <w:tblGrid>
        <w:gridCol w:w="368"/>
        <w:gridCol w:w="207"/>
        <w:gridCol w:w="197"/>
        <w:gridCol w:w="224"/>
        <w:gridCol w:w="739"/>
        <w:gridCol w:w="126"/>
        <w:gridCol w:w="109"/>
        <w:gridCol w:w="109"/>
        <w:gridCol w:w="109"/>
        <w:gridCol w:w="328"/>
        <w:gridCol w:w="328"/>
        <w:gridCol w:w="727"/>
        <w:gridCol w:w="109"/>
        <w:gridCol w:w="109"/>
        <w:gridCol w:w="109"/>
        <w:gridCol w:w="318"/>
        <w:gridCol w:w="904"/>
        <w:gridCol w:w="177"/>
        <w:gridCol w:w="109"/>
        <w:gridCol w:w="109"/>
        <w:gridCol w:w="109"/>
        <w:gridCol w:w="224"/>
        <w:gridCol w:w="739"/>
        <w:gridCol w:w="126"/>
        <w:gridCol w:w="109"/>
        <w:gridCol w:w="109"/>
        <w:gridCol w:w="109"/>
        <w:gridCol w:w="328"/>
        <w:gridCol w:w="328"/>
        <w:gridCol w:w="727"/>
        <w:gridCol w:w="109"/>
        <w:gridCol w:w="109"/>
        <w:gridCol w:w="109"/>
        <w:gridCol w:w="312"/>
        <w:gridCol w:w="886"/>
        <w:gridCol w:w="257"/>
      </w:tblGrid>
      <w:tr>
        <w:trPr/>
        <w:tc>
          <w:tcPr>
            <w:tcW w:w="368"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r>
      <w:tr>
        <w:trPr/>
        <w:tc>
          <w:tcPr>
            <w:tcW w:w="7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5"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1"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7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Consolidated Equity</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Non-controlling Ownership Interest as a Percent of Total</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Non-controlling Interest in Equity of Consolidated Subsidiaries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Consolidated Equity</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Non-controlling Ownership Interest as a Percent of Total</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Non-controlling Interest in Equity of Consolidated Subsidiaries</w:t>
            </w:r>
          </w:p>
        </w:tc>
      </w:tr>
      <w:tr>
        <w:trPr/>
        <w:tc>
          <w:tcPr>
            <w:tcW w:w="7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Figure REIT</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18,217 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45.0 </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8,178 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18,261 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44.6 </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7,769 </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Offshore Solana Fund</w:t>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6,602 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2.8 </w:t>
            </w:r>
          </w:p>
        </w:tc>
        <w:tc>
          <w:tcPr>
            <w:tcW w:w="7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186 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17,807 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2.8 </w:t>
            </w:r>
          </w:p>
        </w:tc>
        <w:tc>
          <w:tcPr>
            <w:tcW w:w="7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508 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24,819 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8,364 </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36,068 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8,277 </w:t>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293370"/>
                <wp:effectExtent l="0" t="0" r="0" b="0"/>
                <wp:wrapNone/>
                <wp:docPr id="169" name="Frame167"/>
                <a:graphic xmlns:a="http://schemas.openxmlformats.org/drawingml/2006/main">
                  <a:graphicData uri="http://schemas.microsoft.com/office/word/2010/wordprocessingShape">
                    <wps:wsp>
                      <wps:cNvSpPr txBox="1"/>
                      <wps:spPr>
                        <a:xfrm>
                          <a:off x="0" y="0"/>
                          <a:ext cx="6480175" cy="293370"/>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167</w:t>
                            </w:r>
                          </w:p>
                          <w:p>
                            <w:pPr>
                              <w:pStyle w:val="TextBody"/>
                              <w:bidi w:val="0"/>
                              <w:spacing w:lineRule="auto" w:line="288" w:before="0" w:after="180"/>
                              <w:jc w:val="left"/>
                              <w:rPr/>
                            </w:pPr>
                            <w:hyperlink w:anchor="i8e13d1b6f3764394b0e424082d2ac79f_151">
                              <w:r>
                                <w:rPr>
                                  <w:rStyle w:val="InternetLink"/>
                                  <w:rFonts w:ascii="Times New Roman;serif" w:hAnsi="Times New Roman;serif"/>
                                  <w:b w:val="false"/>
                                  <w:color w:val="0000FF"/>
                                  <w:sz w:val="20"/>
                                  <w:u w:val="single"/>
                                </w:rPr>
                                <w:t>Table of Contents</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167</w:t>
                      </w:r>
                    </w:p>
                    <w:p>
                      <w:pPr>
                        <w:pStyle w:val="TextBody"/>
                        <w:bidi w:val="0"/>
                        <w:spacing w:lineRule="auto" w:line="288" w:before="0" w:after="180"/>
                        <w:jc w:val="left"/>
                        <w:rPr/>
                      </w:pPr>
                      <w:hyperlink w:anchor="i8e13d1b6f3764394b0e424082d2ac79f_151">
                        <w:r>
                          <w:rPr>
                            <w:rStyle w:val="InternetLink"/>
                            <w:rFonts w:ascii="Times New Roman;serif" w:hAnsi="Times New Roman;serif"/>
                            <w:b w:val="false"/>
                            <w:color w:val="0000FF"/>
                            <w:sz w:val="20"/>
                            <w:u w:val="single"/>
                          </w:rPr>
                          <w:t>Table of Contents</w:t>
                        </w:r>
                      </w:hyperlink>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FIGURE TECHNOLOGY SOLUTIONS,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tables in thousands, except share and per share data, units, ratios or as otherwise noted)</w:t>
      </w:r>
    </w:p>
    <w:p>
      <w:pPr>
        <w:pStyle w:val="TextBody"/>
        <w:bidi w:val="0"/>
        <w:spacing w:before="0" w:after="180"/>
        <w:jc w:val="center"/>
        <w:rPr/>
      </w:pPr>
      <w:r>
        <w:rPr/>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Note 8 - NET INCOME (LOSS) PER SHARE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Basic net income (loss) per share is computed by dividing net income (loss) attributable to the Company by the weighted-average number of shares of common stock outstanding during the period. Diluted net income (loss) per share is computed by dividing net income (loss) attributable to the Company by the weighted-average number of shares of common stock outstanding adjusted to give effect to potentially dilutive securities.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Diluted net income (loss) per share reflects the dilutive effect of potential common shares from share-based awards, warrants and convertible preferred stock. The treasury stock method is used to calculate the dilutive effect of outstanding share-based awards and warrants, which assumes the proceeds upon vesting or exercise would be used to purchase common stock at the average price for the period.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Net income (loss) per share is computed using the two-class method which is required for multiple classes of common stock and participating securities. In historical periods where the Company had outstanding convertible preferred stock, net income (loss) attributable to FTS is first allocated to the convertible preferred stock based on their dividend preference. Any remaining net income (loss) attributable to FTS is then allocated to common stockholders and preferred stockholders using the if-converted method. All preferred stock was convertible on a 1:1 basis to common stock.</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rights, including the liquidation and dividend rights and sharing of losses, of the Class A common stock and Class B common stock are identical, other than voting rights. As the liquidation and dividend rights and sharing of profits are identical, the undistributed earnings are allocated on a proportionate basis for those classes and the resulting net income (loss) per share will, therefore, be the same for both Class A and Class B common stock on an individual or combined basis, and they have been combined as common shares below.</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calculation of basic and diluted net income (loss) per common share for the periods:</w:t>
      </w:r>
    </w:p>
    <w:tbl>
      <w:tblPr>
        <w:tblW w:w="9518" w:type="dxa"/>
        <w:jc w:val="left"/>
        <w:tblInd w:w="0" w:type="dxa"/>
        <w:tblLayout w:type="fixed"/>
        <w:tblCellMar>
          <w:top w:w="28" w:type="dxa"/>
          <w:left w:w="28" w:type="dxa"/>
          <w:bottom w:w="28" w:type="dxa"/>
          <w:right w:w="28" w:type="dxa"/>
        </w:tblCellMar>
      </w:tblPr>
      <w:tblGrid>
        <w:gridCol w:w="1997"/>
        <w:gridCol w:w="1755"/>
        <w:gridCol w:w="1767"/>
        <w:gridCol w:w="221"/>
        <w:gridCol w:w="830"/>
        <w:gridCol w:w="109"/>
        <w:gridCol w:w="109"/>
        <w:gridCol w:w="109"/>
        <w:gridCol w:w="109"/>
        <w:gridCol w:w="223"/>
        <w:gridCol w:w="738"/>
        <w:gridCol w:w="109"/>
        <w:gridCol w:w="109"/>
        <w:gridCol w:w="109"/>
        <w:gridCol w:w="109"/>
        <w:gridCol w:w="219"/>
        <w:gridCol w:w="742"/>
        <w:gridCol w:w="154"/>
      </w:tblGrid>
      <w:tr>
        <w:trPr/>
        <w:tc>
          <w:tcPr>
            <w:tcW w:w="1997" w:type="dxa"/>
            <w:tcBorders/>
            <w:vAlign w:val="center"/>
          </w:tcPr>
          <w:p>
            <w:pPr>
              <w:pStyle w:val="TableContents"/>
              <w:bidi w:val="0"/>
              <w:spacing w:before="0" w:after="283"/>
              <w:jc w:val="left"/>
              <w:rPr>
                <w:sz w:val="4"/>
                <w:szCs w:val="4"/>
              </w:rPr>
            </w:pPr>
            <w:r>
              <w:rPr>
                <w:sz w:val="4"/>
                <w:szCs w:val="4"/>
              </w:rPr>
            </w:r>
          </w:p>
        </w:tc>
        <w:tc>
          <w:tcPr>
            <w:tcW w:w="1755" w:type="dxa"/>
            <w:tcBorders/>
            <w:vAlign w:val="center"/>
          </w:tcPr>
          <w:p>
            <w:pPr>
              <w:pStyle w:val="TableContents"/>
              <w:bidi w:val="0"/>
              <w:spacing w:before="0" w:after="283"/>
              <w:jc w:val="left"/>
              <w:rPr>
                <w:sz w:val="4"/>
                <w:szCs w:val="4"/>
              </w:rPr>
            </w:pPr>
            <w:r>
              <w:rPr>
                <w:sz w:val="4"/>
                <w:szCs w:val="4"/>
              </w:rPr>
            </w:r>
          </w:p>
        </w:tc>
        <w:tc>
          <w:tcPr>
            <w:tcW w:w="1767"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9" w:type="dxa"/>
            <w:gridSpan w:val="15"/>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Years Ended December 31,</w:t>
            </w:r>
          </w:p>
        </w:tc>
      </w:tr>
      <w:tr>
        <w:trPr/>
        <w:tc>
          <w:tcPr>
            <w:tcW w:w="5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5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Numerator:</w:t>
            </w:r>
          </w:p>
        </w:tc>
        <w:tc>
          <w:tcPr>
            <w:tcW w:w="11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Net income (loss) attributable to FTS</w:t>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133,858 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(47,935)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Less: Undistributed earnings attributable to convertible preferred stockholders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(71,832)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Net income (loss) attributable to common stockholders, basic and diluted</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62,026 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(47,935)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Denominator:</w:t>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Basic weighted average common shares attributable to FTS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114,435,259 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65,020,119 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51,305,065 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Add: effect of dilutive securities related to share-based payment awards</w:t>
            </w:r>
            <w:r>
              <w:rPr>
                <w:color w:val="000000"/>
              </w:rPr>
              <w:t xml:space="preserve"> </w:t>
            </w:r>
            <w:r>
              <w:rPr>
                <w:rFonts w:ascii="Times New Roman;serif" w:hAnsi="Times New Roman;serif"/>
                <w:b w:val="false"/>
                <w:color w:val="000000"/>
                <w:sz w:val="10"/>
              </w:rPr>
              <w:t>(A)</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27,366,743 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7,617,338 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Diluted weighted average common shares attributable to FTS</w:t>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141,802,002 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72,637,457 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51,305,065 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Net income (loss) per common share attributable to FTS, basic</w:t>
            </w:r>
          </w:p>
        </w:tc>
        <w:tc>
          <w:tcPr>
            <w:tcW w:w="1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$(0.93)</w:t>
            </w:r>
          </w:p>
        </w:tc>
      </w:tr>
      <w:tr>
        <w:trPr/>
        <w:tc>
          <w:tcPr>
            <w:tcW w:w="55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Net income (loss) per common share attributable to FTS, diluted</w:t>
            </w:r>
          </w:p>
        </w:tc>
        <w:tc>
          <w:tcPr>
            <w:tcW w:w="1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$(0.93)</w:t>
            </w:r>
          </w:p>
        </w:tc>
      </w:tr>
    </w:tbl>
    <w:p>
      <w:pPr>
        <w:pStyle w:val="TextBody"/>
        <w:bidi w:val="0"/>
        <w:spacing w:lineRule="auto" w:line="288" w:before="0" w:after="0"/>
        <w:ind w:left="0" w:right="0" w:hanging="180"/>
        <w:jc w:val="both"/>
        <w:rPr/>
      </w:pPr>
      <w:r>
        <w:rPr>
          <w:rFonts w:ascii="Times New Roman;serif" w:hAnsi="Times New Roman;serif"/>
          <w:b w:val="false"/>
          <w:color w:val="000000"/>
          <w:sz w:val="10"/>
        </w:rPr>
        <w:t xml:space="preserve">(A) </w:t>
      </w:r>
      <w:r>
        <w:rPr>
          <w:rFonts w:ascii="Times New Roman;serif" w:hAnsi="Times New Roman;serif"/>
          <w:b w:val="false"/>
          <w:color w:val="000000"/>
          <w:sz w:val="16"/>
        </w:rPr>
        <w:t>The dilutive impact of share-based payment awards and warrants for the years ended December 31, 2025, 2024, and 2023 comprised of 22,621,883, 7,132,282, and zero shares related to stock options, 959,984, 485,056, and zero shares related to warrants, and 3,784,876,  zero, and zero shares related to unvested RSUs, respectively. For the year ended December 31, 2024, 598,104 shares related to unvested RSUs were excluded from the dilutive impact as the issuance of those shares was contingent upon the satisfaction of a liquidity condition which was not satisfied as of the end of that period. As the fiscal year ended December 31, 2023 was in a net loss position, 3,609,301 potentially dilutive shares from share-based payment awards were considered, but would have been anti-dilutive and have been excluded from the computation of diluted earnings per share for that period.</w:t>
      </w:r>
    </w:p>
    <w:p>
      <w:pPr>
        <w:pStyle w:val="TextBody"/>
        <w:bidi w:val="0"/>
        <w:spacing w:before="0" w:after="0"/>
        <w:ind w:left="0" w:right="0" w:hanging="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NOTE 9 – VARIABLE INTEREST ENTITIES</w:t>
      </w: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Consolidated VIEs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consolidates VIEs in which the Company is deemed to have both the power to direct the most significant activities of the entities and the right to receive benefits, or the obligation to absorb losses, that could potentially be significant to the entities.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293370"/>
                <wp:effectExtent l="0" t="0" r="0" b="0"/>
                <wp:wrapNone/>
                <wp:docPr id="170" name="Frame168"/>
                <a:graphic xmlns:a="http://schemas.openxmlformats.org/drawingml/2006/main">
                  <a:graphicData uri="http://schemas.microsoft.com/office/word/2010/wordprocessingShape">
                    <wps:wsp>
                      <wps:cNvSpPr txBox="1"/>
                      <wps:spPr>
                        <a:xfrm>
                          <a:off x="0" y="0"/>
                          <a:ext cx="6480175" cy="293370"/>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168</w:t>
                            </w:r>
                          </w:p>
                          <w:p>
                            <w:pPr>
                              <w:pStyle w:val="TextBody"/>
                              <w:bidi w:val="0"/>
                              <w:spacing w:lineRule="auto" w:line="288" w:before="0" w:after="180"/>
                              <w:jc w:val="left"/>
                              <w:rPr/>
                            </w:pPr>
                            <w:hyperlink w:anchor="i8e13d1b6f3764394b0e424082d2ac79f_151">
                              <w:r>
                                <w:rPr>
                                  <w:rStyle w:val="InternetLink"/>
                                  <w:rFonts w:ascii="Times New Roman;serif" w:hAnsi="Times New Roman;serif"/>
                                  <w:b w:val="false"/>
                                  <w:color w:val="0000FF"/>
                                  <w:sz w:val="20"/>
                                  <w:u w:val="single"/>
                                </w:rPr>
                                <w:t>Table of Contents</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168</w:t>
                      </w:r>
                    </w:p>
                    <w:p>
                      <w:pPr>
                        <w:pStyle w:val="TextBody"/>
                        <w:bidi w:val="0"/>
                        <w:spacing w:lineRule="auto" w:line="288" w:before="0" w:after="180"/>
                        <w:jc w:val="left"/>
                        <w:rPr/>
                      </w:pPr>
                      <w:hyperlink w:anchor="i8e13d1b6f3764394b0e424082d2ac79f_151">
                        <w:r>
                          <w:rPr>
                            <w:rStyle w:val="InternetLink"/>
                            <w:rFonts w:ascii="Times New Roman;serif" w:hAnsi="Times New Roman;serif"/>
                            <w:b w:val="false"/>
                            <w:color w:val="0000FF"/>
                            <w:sz w:val="20"/>
                            <w:u w:val="single"/>
                          </w:rPr>
                          <w:t>Table of Contents</w:t>
                        </w:r>
                      </w:hyperlink>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FIGURE TECHNOLOGY SOLUTIONS,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tables in thousands, except share and per share data, units, ratios or as otherwise noted)</w:t>
      </w:r>
    </w:p>
    <w:p>
      <w:pPr>
        <w:pStyle w:val="TextBody"/>
        <w:bidi w:val="0"/>
        <w:spacing w:before="0" w:after="180"/>
        <w:jc w:val="center"/>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carrying value and classification of the assets and liabilities of VIEs consolidated within the Consolidated Balance Sheets, after elimination of intercompany balances:</w:t>
      </w:r>
    </w:p>
    <w:tbl>
      <w:tblPr>
        <w:tblW w:w="7635" w:type="dxa"/>
        <w:jc w:val="left"/>
        <w:tblInd w:w="0" w:type="dxa"/>
        <w:tblLayout w:type="fixed"/>
        <w:tblCellMar>
          <w:top w:w="28" w:type="dxa"/>
          <w:left w:w="28" w:type="dxa"/>
          <w:bottom w:w="28" w:type="dxa"/>
          <w:right w:w="28" w:type="dxa"/>
        </w:tblCellMar>
      </w:tblPr>
      <w:tblGrid>
        <w:gridCol w:w="737"/>
        <w:gridCol w:w="648"/>
        <w:gridCol w:w="654"/>
        <w:gridCol w:w="196"/>
        <w:gridCol w:w="736"/>
        <w:gridCol w:w="109"/>
        <w:gridCol w:w="109"/>
        <w:gridCol w:w="109"/>
        <w:gridCol w:w="109"/>
        <w:gridCol w:w="234"/>
        <w:gridCol w:w="880"/>
        <w:gridCol w:w="130"/>
        <w:gridCol w:w="109"/>
        <w:gridCol w:w="109"/>
        <w:gridCol w:w="109"/>
        <w:gridCol w:w="196"/>
        <w:gridCol w:w="736"/>
        <w:gridCol w:w="109"/>
        <w:gridCol w:w="109"/>
        <w:gridCol w:w="109"/>
        <w:gridCol w:w="109"/>
        <w:gridCol w:w="232"/>
        <w:gridCol w:w="874"/>
        <w:gridCol w:w="183"/>
      </w:tblGrid>
      <w:tr>
        <w:trPr/>
        <w:tc>
          <w:tcPr>
            <w:tcW w:w="737"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2"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2039"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Liabilities</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Liabilities</w:t>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Offshore Solana Fund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44,760 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Figure REIT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121,817 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103,556 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Figure Certificate Company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329,921 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329,219 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494 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395,470 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331,066 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140,643 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104,054 </w:t>
            </w:r>
          </w:p>
        </w:tc>
        <w:tc>
          <w:tcPr>
            <w:tcW w:w="1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Additionally, the Company has wholly-owned consolidated VIEs that are formed to acquire, receive, participate, hold, release and dispose of participation interests for the Company’s warehouse facilities. The Company is the primary beneficiary of these VIEs, and retains the risks and benefits associated with the assets and liabilities transferred to the VIEs. See Note 6 for further discussion of the Company’s warehouse facilities. </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Offshore Solana Fund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Offshore Solana Fund was initially a wholly-owned subsidiary of the Company. In July 2024, the Company sold 2.8% of the Offshore Solana Fund limited partnership interests to unrelated third parties. As of December 31, 2025, the Company holds a 97.2% interest in the Offshore Solana Fund. Through its ownership of the general partner, the Company has the power to direct the activities that most significantly impact the economic performance of the Offshore Solana Fund and the Company has an obligation to absorb losses or receive returns of the Offshore Solana Fund. Third-party limited partners in the Offshore Solana Fund hold a ratable interest in the fair value of the Offshore Solana Fund’s net assets, and the Company presents such noncontrolling interests at fair value in the Consolidated Balance Sheets and reflects changes thereon in the Consolidated Statements of Operations. </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Figure REIT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holds all voting rights in Figure REIT, and it directs the activities that most significantly impact the economic performance of Figure REIT through an advisor. However, third parties own 45.0% of the non-voting equity in Figure REIT at December 31, 2025. While the Company has economic exposure through its direct and indirect interest in Figure REIT, there is no recourse to the Company for Figure REIT’s liabilities.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See Note 7 for further discussion of noncontrolling interests in the Offshore Solana Fund and Figure REIT. </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Figure Certificate Company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FCC is a face-amount certificate company registered with the SEC. FCC was incorporated in April 2023 as a wholly-owned subsidiary of FT until the Reorganization in 2024. Subsequent to the Reorganization, FCC is a wholly-owned subsidiary of FMH. The Company holds all voting rights in FCC and it directs the activities that most significantly impact the economic performance of FCC.</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293370"/>
                <wp:effectExtent l="0" t="0" r="0" b="0"/>
                <wp:wrapNone/>
                <wp:docPr id="171" name="Frame169"/>
                <a:graphic xmlns:a="http://schemas.openxmlformats.org/drawingml/2006/main">
                  <a:graphicData uri="http://schemas.microsoft.com/office/word/2010/wordprocessingShape">
                    <wps:wsp>
                      <wps:cNvSpPr txBox="1"/>
                      <wps:spPr>
                        <a:xfrm>
                          <a:off x="0" y="0"/>
                          <a:ext cx="6480175" cy="293370"/>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169</w:t>
                            </w:r>
                          </w:p>
                          <w:p>
                            <w:pPr>
                              <w:pStyle w:val="TextBody"/>
                              <w:bidi w:val="0"/>
                              <w:spacing w:lineRule="auto" w:line="288" w:before="0" w:after="180"/>
                              <w:jc w:val="left"/>
                              <w:rPr/>
                            </w:pPr>
                            <w:hyperlink w:anchor="i8e13d1b6f3764394b0e424082d2ac79f_151">
                              <w:r>
                                <w:rPr>
                                  <w:rStyle w:val="InternetLink"/>
                                  <w:rFonts w:ascii="Times New Roman;serif" w:hAnsi="Times New Roman;serif"/>
                                  <w:b w:val="false"/>
                                  <w:color w:val="0000FF"/>
                                  <w:sz w:val="20"/>
                                  <w:u w:val="single"/>
                                </w:rPr>
                                <w:t>Table of Contents</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169</w:t>
                      </w:r>
                    </w:p>
                    <w:p>
                      <w:pPr>
                        <w:pStyle w:val="TextBody"/>
                        <w:bidi w:val="0"/>
                        <w:spacing w:lineRule="auto" w:line="288" w:before="0" w:after="180"/>
                        <w:jc w:val="left"/>
                        <w:rPr/>
                      </w:pPr>
                      <w:hyperlink w:anchor="i8e13d1b6f3764394b0e424082d2ac79f_151">
                        <w:r>
                          <w:rPr>
                            <w:rStyle w:val="InternetLink"/>
                            <w:rFonts w:ascii="Times New Roman;serif" w:hAnsi="Times New Roman;serif"/>
                            <w:b w:val="false"/>
                            <w:color w:val="0000FF"/>
                            <w:sz w:val="20"/>
                            <w:u w:val="single"/>
                          </w:rPr>
                          <w:t>Table of Contents</w:t>
                        </w:r>
                      </w:hyperlink>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FIGURE TECHNOLOGY SOLUTIONS,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tables in thousands, except share and per share data, units, ratios or as otherwise noted)</w:t>
      </w:r>
    </w:p>
    <w:p>
      <w:pPr>
        <w:pStyle w:val="TextBody"/>
        <w:bidi w:val="0"/>
        <w:spacing w:before="0" w:after="180"/>
        <w:jc w:val="center"/>
        <w:rPr/>
      </w:pPr>
      <w:r>
        <w:rPr/>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Non-Consolidated VIEs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While the Company continues to be involved with securitizations considered VIEs in its role as the sponsor and the servicer of securitization transactions, the Company has determined that it is not the primary beneficiary of these entities and therefore does not consolidate these securitizations. These entities are established as grantor trusts for various securitization transactions. The activities that most significantly impact the economic performance of the VIE include servicing activities with respect to delinquent and defaulted loans, determined by a third-party special servicer that the Company may not remove without cause. Assets transferred into each securitization trust are legally isolated from the creditors of the Company, not available to satisfy obligations of the Company, and can only be used to settle obligations of the underlying trust in exchange for debt securities and beneficial interests sold.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aggregate risk characteristics of the unconsolidated VIEs and the Company’s maximum exposure to loss at December 31, 2025 and 2024:</w:t>
      </w:r>
    </w:p>
    <w:tbl>
      <w:tblPr>
        <w:tblW w:w="6354" w:type="dxa"/>
        <w:jc w:val="left"/>
        <w:tblInd w:w="0" w:type="dxa"/>
        <w:tblLayout w:type="fixed"/>
        <w:tblCellMar>
          <w:top w:w="28" w:type="dxa"/>
          <w:left w:w="28" w:type="dxa"/>
          <w:bottom w:w="28" w:type="dxa"/>
          <w:right w:w="28" w:type="dxa"/>
        </w:tblCellMar>
      </w:tblPr>
      <w:tblGrid>
        <w:gridCol w:w="1081"/>
        <w:gridCol w:w="950"/>
        <w:gridCol w:w="953"/>
        <w:gridCol w:w="224"/>
        <w:gridCol w:w="999"/>
        <w:gridCol w:w="276"/>
        <w:gridCol w:w="109"/>
        <w:gridCol w:w="109"/>
        <w:gridCol w:w="109"/>
        <w:gridCol w:w="223"/>
        <w:gridCol w:w="995"/>
        <w:gridCol w:w="326"/>
      </w:tblGrid>
      <w:tr>
        <w:trPr/>
        <w:tc>
          <w:tcPr>
            <w:tcW w:w="1081"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UPB of securitization collateral</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4,595,629 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2,785,341 </w:t>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Face amount of debt held by third parties</w:t>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4,805,192 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2,586,297 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Maximum exposure</w:t>
            </w:r>
            <w:r>
              <w:rPr>
                <w:rFonts w:ascii="Times New Roman;serif" w:hAnsi="Times New Roman;serif"/>
                <w:b w:val="false"/>
                <w:color w:val="000000"/>
                <w:sz w:val="10"/>
              </w:rPr>
              <w:t>(A)</w:t>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347,793 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201,512 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Weighted average delinquency</w:t>
            </w:r>
            <w:r>
              <w:rPr>
                <w:rFonts w:ascii="Times New Roman;serif" w:hAnsi="Times New Roman;serif"/>
                <w:b w:val="false"/>
                <w:color w:val="000000"/>
                <w:sz w:val="10"/>
              </w:rPr>
              <w:t>(B)</w:t>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0.8 </w:t>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0.4 </w:t>
            </w:r>
          </w:p>
        </w:tc>
        <w:tc>
          <w:tcPr>
            <w:tcW w:w="3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bl>
    <w:p>
      <w:pPr>
        <w:pStyle w:val="TextBody"/>
        <w:bidi w:val="0"/>
        <w:spacing w:lineRule="auto" w:line="288" w:before="0" w:after="0"/>
        <w:ind w:left="0" w:right="0" w:hanging="180"/>
        <w:jc w:val="both"/>
        <w:rPr/>
      </w:pPr>
      <w:r>
        <w:rPr>
          <w:rFonts w:ascii="Times New Roman;serif" w:hAnsi="Times New Roman;serif"/>
          <w:b w:val="false"/>
          <w:color w:val="000000"/>
          <w:sz w:val="10"/>
        </w:rPr>
        <w:t>(A)    </w:t>
      </w:r>
      <w:r>
        <w:rPr>
          <w:rFonts w:ascii="Times New Roman;serif" w:hAnsi="Times New Roman;serif"/>
          <w:b w:val="false"/>
          <w:color w:val="000000"/>
          <w:sz w:val="16"/>
        </w:rPr>
        <w:t>Primarily represents the aggregate fair value of the Company’s investments in marketable securities and the servicing assets associated with underlying collateral of the securitizations. In certain cases, the Company is obligated to fund securitization reserve accounts. See Note 10 for further discussion regarding the Company’s reserve account funding obligations.</w:t>
      </w:r>
    </w:p>
    <w:p>
      <w:pPr>
        <w:pStyle w:val="TextBody"/>
        <w:bidi w:val="0"/>
        <w:spacing w:lineRule="auto" w:line="288" w:before="0" w:after="0"/>
        <w:ind w:left="0" w:right="0" w:hanging="180"/>
        <w:jc w:val="both"/>
        <w:rPr/>
      </w:pPr>
      <w:r>
        <w:rPr>
          <w:rFonts w:ascii="Times New Roman;serif" w:hAnsi="Times New Roman;serif"/>
          <w:b w:val="false"/>
          <w:color w:val="000000"/>
          <w:sz w:val="10"/>
        </w:rPr>
        <w:t>(B)    </w:t>
      </w:r>
      <w:r>
        <w:rPr>
          <w:rFonts w:ascii="Times New Roman;serif" w:hAnsi="Times New Roman;serif"/>
          <w:b w:val="false"/>
          <w:color w:val="000000"/>
          <w:sz w:val="16"/>
        </w:rPr>
        <w:t>Represents the percentage of the UPB that is 60+ days delinquent.</w:t>
      </w:r>
    </w:p>
    <w:p>
      <w:pPr>
        <w:pStyle w:val="TextBody"/>
        <w:bidi w:val="0"/>
        <w:spacing w:before="0" w:after="180"/>
        <w:ind w:left="0" w:right="0" w:hanging="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NOTE 10 – COMMITMENTS AND CONTINGENCIES</w:t>
      </w:r>
    </w:p>
    <w:p>
      <w:pPr>
        <w:pStyle w:val="TextBody"/>
        <w:bidi w:val="0"/>
        <w:spacing w:lineRule="auto" w:line="288" w:before="0" w:after="180"/>
        <w:jc w:val="both"/>
        <w:rPr/>
      </w:pPr>
      <w:r>
        <w:rPr>
          <w:rFonts w:ascii="Times New Roman;serif" w:hAnsi="Times New Roman;serif"/>
          <w:b/>
          <w:color w:val="000000"/>
          <w:sz w:val="20"/>
        </w:rPr>
        <w:t>Litigation</w:t>
      </w:r>
      <w:r>
        <w:rPr>
          <w:color w:val="000000"/>
        </w:rPr>
        <w:t xml:space="preserve"> — </w:t>
      </w:r>
      <w:r>
        <w:rPr>
          <w:rFonts w:ascii="Times New Roman;serif" w:hAnsi="Times New Roman;serif"/>
          <w:b w:val="false"/>
          <w:color w:val="000000"/>
          <w:sz w:val="20"/>
        </w:rPr>
        <w:t>The Company is or may become, from time to time, involved in various disputes, litigation, arbitration, and regulatory inquiry and investigation matters that arise in the ordinary course of business. Given the inherent unpredictability of matters the Company has been and currently is involved in, the outcome of these proceedings cannot be determined at this time, and it is possible that future adverse outcomes could have a material adverse effect on its business, financial position or results of operations. The Company is not aware of any unasserted claims that it believes are material and probable of assertion where the risk of loss is expected to be reasonably possible, but the Company may become involved in additional litigation in the ordinary course of the Company’s business in the future, including litigation that could be material to its business.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reviews the need for any loss contingency reserves and establishes reserves when, in the opinion of management, it is probable that a matter would result in a liability and the amount of loss, if any, can be reasonably estimated. Management, after consultation with legal counsel, believes that there are no known actions or threats that would result in a material adverse effect on the Company’s financial condition, results of operations, or cash flows.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is, from time to time, subject to inquiries by government entities, though the Company currently does not believe any of these inquiries would result in a material adverse effect on the Company’s business.</w:t>
      </w:r>
    </w:p>
    <w:p>
      <w:pPr>
        <w:pStyle w:val="TextBody"/>
        <w:bidi w:val="0"/>
        <w:spacing w:lineRule="auto" w:line="288" w:before="0" w:after="180"/>
        <w:jc w:val="both"/>
        <w:rPr/>
      </w:pPr>
      <w:r>
        <w:rPr>
          <w:rFonts w:ascii="Times New Roman;serif" w:hAnsi="Times New Roman;serif"/>
          <w:b/>
          <w:color w:val="000000"/>
          <w:sz w:val="20"/>
        </w:rPr>
        <w:t>Indemnifications</w:t>
      </w:r>
      <w:r>
        <w:rPr>
          <w:color w:val="000000"/>
        </w:rPr>
        <w:t xml:space="preserve"> — </w:t>
      </w:r>
      <w:r>
        <w:rPr>
          <w:rFonts w:ascii="Times New Roman;serif" w:hAnsi="Times New Roman;serif"/>
          <w:b w:val="false"/>
          <w:color w:val="000000"/>
          <w:sz w:val="20"/>
        </w:rPr>
        <w:t>In the normal course of business, the Company and its subsidiaries enter into contracts that contain representations and warranties that provide general indemnifications in regards to legal proceedings. The Company’s maximum exposure under these arrangements is unknown as this would involve future legal claims that may be made against the Company that have not yet occurred. However, based on its experience, the Company expects the risk of material loss to be remote.</w:t>
      </w:r>
    </w:p>
    <w:p>
      <w:pPr>
        <w:pStyle w:val="TextBody"/>
        <w:bidi w:val="0"/>
        <w:spacing w:lineRule="auto" w:line="288" w:before="0" w:after="180"/>
        <w:jc w:val="both"/>
        <w:rPr/>
      </w:pPr>
      <w:r>
        <w:rPr>
          <w:rFonts w:ascii="Times New Roman;serif" w:hAnsi="Times New Roman;serif"/>
          <w:b/>
          <w:color w:val="000000"/>
          <w:sz w:val="20"/>
        </w:rPr>
        <w:t>Debt Covenants</w:t>
      </w:r>
      <w:r>
        <w:rPr>
          <w:color w:val="000000"/>
        </w:rPr>
        <w:t xml:space="preserve"> — </w:t>
      </w:r>
      <w:r>
        <w:rPr>
          <w:rFonts w:ascii="Times New Roman;serif" w:hAnsi="Times New Roman;serif"/>
          <w:b w:val="false"/>
          <w:color w:val="000000"/>
          <w:sz w:val="20"/>
        </w:rPr>
        <w:t>Certain of the Company’s debt obligations are subject to loan covenants and event of default provisions. See Note 6 for further discussion of the Company’s debt obligations.</w:t>
      </w:r>
    </w:p>
    <w:p>
      <w:pPr>
        <w:pStyle w:val="TextBody"/>
        <w:bidi w:val="0"/>
        <w:spacing w:lineRule="auto" w:line="288" w:before="0" w:after="180"/>
        <w:jc w:val="both"/>
        <w:rPr/>
      </w:pPr>
      <w:r>
        <w:rPr>
          <w:rFonts w:ascii="Times New Roman;serif" w:hAnsi="Times New Roman;serif"/>
          <w:b/>
          <w:color w:val="000000"/>
          <w:sz w:val="20"/>
        </w:rPr>
        <w:t>Loan Purchase and Servicing Commitments</w:t>
      </w:r>
      <w:r>
        <w:rPr>
          <w:color w:val="000000"/>
        </w:rPr>
        <w:t xml:space="preserve"> — </w:t>
      </w:r>
      <w:r>
        <w:rPr>
          <w:rFonts w:ascii="Times New Roman;serif" w:hAnsi="Times New Roman;serif"/>
          <w:b w:val="false"/>
          <w:color w:val="000000"/>
          <w:sz w:val="20"/>
        </w:rPr>
        <w:t>The Company enters into agreements with various loan origination partners to purchase and service the loans they originate through the Technology Offering. At December 31, 2025 and 2024, purchase commitments were not material. The Company does not record an asset or liability for purchase or servicing commitments since it expects such commitments to benefit the Company, the Company has not yet taken control of the underlying loans, and the commitments are not material.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293370"/>
                <wp:effectExtent l="0" t="0" r="0" b="0"/>
                <wp:wrapNone/>
                <wp:docPr id="172" name="Frame170"/>
                <a:graphic xmlns:a="http://schemas.openxmlformats.org/drawingml/2006/main">
                  <a:graphicData uri="http://schemas.microsoft.com/office/word/2010/wordprocessingShape">
                    <wps:wsp>
                      <wps:cNvSpPr txBox="1"/>
                      <wps:spPr>
                        <a:xfrm>
                          <a:off x="0" y="0"/>
                          <a:ext cx="6480175" cy="293370"/>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170</w:t>
                            </w:r>
                          </w:p>
                          <w:p>
                            <w:pPr>
                              <w:pStyle w:val="TextBody"/>
                              <w:bidi w:val="0"/>
                              <w:spacing w:lineRule="auto" w:line="288" w:before="0" w:after="180"/>
                              <w:jc w:val="left"/>
                              <w:rPr/>
                            </w:pPr>
                            <w:hyperlink w:anchor="i8e13d1b6f3764394b0e424082d2ac79f_151">
                              <w:r>
                                <w:rPr>
                                  <w:rStyle w:val="InternetLink"/>
                                  <w:rFonts w:ascii="Times New Roman;serif" w:hAnsi="Times New Roman;serif"/>
                                  <w:b w:val="false"/>
                                  <w:color w:val="0000FF"/>
                                  <w:sz w:val="20"/>
                                  <w:u w:val="single"/>
                                </w:rPr>
                                <w:t>Table of Contents</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170</w:t>
                      </w:r>
                    </w:p>
                    <w:p>
                      <w:pPr>
                        <w:pStyle w:val="TextBody"/>
                        <w:bidi w:val="0"/>
                        <w:spacing w:lineRule="auto" w:line="288" w:before="0" w:after="180"/>
                        <w:jc w:val="left"/>
                        <w:rPr/>
                      </w:pPr>
                      <w:hyperlink w:anchor="i8e13d1b6f3764394b0e424082d2ac79f_151">
                        <w:r>
                          <w:rPr>
                            <w:rStyle w:val="InternetLink"/>
                            <w:rFonts w:ascii="Times New Roman;serif" w:hAnsi="Times New Roman;serif"/>
                            <w:b w:val="false"/>
                            <w:color w:val="0000FF"/>
                            <w:sz w:val="20"/>
                            <w:u w:val="single"/>
                          </w:rPr>
                          <w:t>Table of Contents</w:t>
                        </w:r>
                      </w:hyperlink>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FIGURE TECHNOLOGY SOLUTIONS,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tables in thousands, except share and per share data, units, ratios or as otherwise noted)</w:t>
      </w:r>
    </w:p>
    <w:p>
      <w:pPr>
        <w:pStyle w:val="TextBody"/>
        <w:bidi w:val="0"/>
        <w:spacing w:before="0" w:after="180"/>
        <w:jc w:val="center"/>
        <w:rPr/>
      </w:pPr>
      <w:r>
        <w:rPr/>
      </w:r>
    </w:p>
    <w:p>
      <w:pPr>
        <w:pStyle w:val="TextBody"/>
        <w:bidi w:val="0"/>
        <w:spacing w:lineRule="auto" w:line="288" w:before="0" w:after="180"/>
        <w:jc w:val="both"/>
        <w:rPr/>
      </w:pPr>
      <w:r>
        <w:rPr>
          <w:rFonts w:ascii="Times New Roman;serif" w:hAnsi="Times New Roman;serif"/>
          <w:b/>
          <w:color w:val="000000"/>
          <w:sz w:val="20"/>
        </w:rPr>
        <w:t>Loan Funding Obligations</w:t>
      </w:r>
      <w:r>
        <w:rPr>
          <w:color w:val="000000"/>
        </w:rPr>
        <w:t xml:space="preserve"> — </w:t>
      </w:r>
      <w:r>
        <w:rPr>
          <w:rFonts w:ascii="Times New Roman;serif" w:hAnsi="Times New Roman;serif"/>
          <w:b w:val="false"/>
          <w:color w:val="000000"/>
          <w:sz w:val="20"/>
        </w:rPr>
        <w:t xml:space="preserve">The HELOC loans that the Company originates or purchases include terms that permit borrowers to draw amounts, or redraw previously repaid amounts, during a 4-year period after the original origination date. At December 31, 2025 and 2024, borrowers were able to borrow up to $105.1 million and $29.1 million on undrawn HELOC loans that the Company has committed to fund. Additionally, the Company has $16.9 million and </w:t>
      </w:r>
      <w:r>
        <w:rPr>
          <w:rFonts w:ascii="Times New Roman;serif" w:hAnsi="Times New Roman;serif"/>
          <w:b w:val="false"/>
          <w:color w:val="000000"/>
          <w:sz w:val="20"/>
          <w:shd w:fill="FFFFFF" w:val="clear"/>
        </w:rPr>
        <w:t>$3.0 million</w:t>
      </w:r>
      <w:r>
        <w:rPr>
          <w:color w:val="000000"/>
        </w:rPr>
        <w:t xml:space="preserve"> </w:t>
      </w:r>
      <w:r>
        <w:rPr>
          <w:rFonts w:ascii="Times New Roman;serif" w:hAnsi="Times New Roman;serif"/>
          <w:b w:val="false"/>
          <w:color w:val="000000"/>
          <w:sz w:val="20"/>
        </w:rPr>
        <w:t xml:space="preserve">in unfunded loan commitments at December 31, 2025 and 2024, respectively, related to loans originated or purchased near the end of each respective period, which were substantially settled within a week after each period end. </w:t>
      </w:r>
    </w:p>
    <w:p>
      <w:pPr>
        <w:pStyle w:val="TextBody"/>
        <w:bidi w:val="0"/>
        <w:spacing w:lineRule="auto" w:line="288" w:before="0" w:after="180"/>
        <w:jc w:val="both"/>
        <w:rPr/>
      </w:pPr>
      <w:r>
        <w:rPr>
          <w:rFonts w:ascii="Times New Roman;serif" w:hAnsi="Times New Roman;serif"/>
          <w:b/>
          <w:color w:val="000000"/>
          <w:sz w:val="20"/>
        </w:rPr>
        <w:t>Loan Repurchase Obligations</w:t>
      </w:r>
      <w:r>
        <w:rPr>
          <w:color w:val="000000"/>
        </w:rPr>
        <w:t xml:space="preserve"> — </w:t>
      </w:r>
      <w:r>
        <w:rPr>
          <w:rFonts w:ascii="Times New Roman;serif" w:hAnsi="Times New Roman;serif"/>
          <w:b w:val="false"/>
          <w:color w:val="000000"/>
          <w:sz w:val="20"/>
        </w:rPr>
        <w:t xml:space="preserve">The Company has contractual agreements with certain loan buyers to repurchase or substitute loans where a borrower misses a payment within 30 to 90 days since the loan’s origination, though the Company indemnifies the loan buyer against future losses on such loans in certain cases. The repurchase price is equal to the original sale price to the loan purchaser and the Company recognizes a loss to the extent the repurchase price of the loan exceeds the estimated fair value on the repurchase date, further adjusted upon resale of the loan, if applicable. The Company generally continues to service the defaulting loan through a third-party subservicer. The Company repurchased loans for which it recognized gains (losses) of $(2.4) million, $(8.2) million and $(10.1) million for the years ended December 31, 2025, 2024 and 2023, respectively, within “Other expense” in the Consolidated Statements of Operations.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At December 31, 2025, the Company has contingent commitments to repurchase loans with an aggregate UPB of up to $1.8 billion for which the Company recorded repurchase obligations totaling $17.7 million within “Payables to third-party loan owners” in the Consolidated Balance Sheets. The Company recorded a reserve of $6.2 million within “Other current liabilities” in the Consolidated Balance Sheets, based on the Company’s estimate of expected future losses at December 31, 2025.</w:t>
      </w:r>
    </w:p>
    <w:p>
      <w:pPr>
        <w:pStyle w:val="TextBody"/>
        <w:bidi w:val="0"/>
        <w:spacing w:lineRule="auto" w:line="288" w:before="0" w:after="180"/>
        <w:jc w:val="both"/>
        <w:rPr/>
      </w:pPr>
      <w:r>
        <w:rPr>
          <w:rFonts w:ascii="Times New Roman;serif" w:hAnsi="Times New Roman;serif"/>
          <w:b/>
          <w:color w:val="000000"/>
          <w:sz w:val="20"/>
        </w:rPr>
        <w:t>Securitization Reserve Account Funding Obligations</w:t>
      </w:r>
      <w:r>
        <w:rPr>
          <w:color w:val="000000"/>
        </w:rPr>
        <w:t xml:space="preserve"> — </w:t>
      </w:r>
      <w:r>
        <w:rPr>
          <w:rFonts w:ascii="Times New Roman;serif" w:hAnsi="Times New Roman;serif"/>
          <w:b w:val="false"/>
          <w:color w:val="000000"/>
          <w:sz w:val="20"/>
        </w:rPr>
        <w:t>The Company, in its capacity as servicer of certain securitizations, has committed to fund and replenish customary reserve accounts held by the securitization trust that the Company initially funds at the time of securitization in an amount based upon expected prepayments, delinquencies, defaults, and draws from borrowers for loans in the securitization. While the Company’s obligation to fund reserve amounts is not limited, and the Company cannot reliably estimate the long-term macroeconomic environment that may impact its maximum exposure for such obligations over the contractual life of the securitization, the Company does not expect to fund material amounts to its securitizations in excess of current balances at December 31, 2025.</w:t>
      </w:r>
    </w:p>
    <w:p>
      <w:pPr>
        <w:pStyle w:val="TextBody"/>
        <w:bidi w:val="0"/>
        <w:spacing w:lineRule="auto" w:line="288" w:before="0" w:after="180"/>
        <w:jc w:val="both"/>
        <w:rPr/>
      </w:pPr>
      <w:r>
        <w:rPr>
          <w:rFonts w:ascii="Times New Roman;serif" w:hAnsi="Times New Roman;serif"/>
          <w:b/>
          <w:color w:val="000000"/>
          <w:sz w:val="20"/>
        </w:rPr>
        <w:t xml:space="preserve">Capital Commitments </w:t>
      </w:r>
      <w:r>
        <w:rPr>
          <w:color w:val="000000"/>
        </w:rPr>
        <w:t xml:space="preserve">— </w:t>
      </w:r>
      <w:r>
        <w:rPr>
          <w:rFonts w:ascii="Times New Roman;serif" w:hAnsi="Times New Roman;serif"/>
          <w:b w:val="false"/>
          <w:color w:val="000000"/>
          <w:sz w:val="20"/>
        </w:rPr>
        <w:t>In February 2025, the Company entered into a joint venture agreement with a third party to finance loans originated or purchased by the Company. As part of that agreement, the Company committed to invest up to $10.5 million in exchange for a 5.0% interest in the joint venture. The Company contributed capital of $2.5 million to the joint venture during the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pPr>
      <w:r>
        <w:rPr>
          <w:rFonts w:ascii="Times New Roman;serif" w:hAnsi="Times New Roman;serif"/>
          <w:b/>
          <w:color w:val="000000"/>
          <w:sz w:val="20"/>
        </w:rPr>
        <w:t>Leases</w:t>
      </w:r>
      <w:r>
        <w:rPr>
          <w:color w:val="000000"/>
        </w:rPr>
        <w:t xml:space="preserve"> — </w:t>
      </w:r>
      <w:r>
        <w:rPr>
          <w:rFonts w:ascii="Times New Roman;serif" w:hAnsi="Times New Roman;serif"/>
          <w:b w:val="false"/>
          <w:color w:val="000000"/>
          <w:sz w:val="20"/>
        </w:rPr>
        <w:t>The Company has non-cancellable leases on office spaces expiring through 2031 that it does not sublease. Rent expense totaled $2.7 million, $2.8 million and $2.9 million for the years ended December 31, 2025, 2024 and 2023, respectively. The Company has leases that include renewal options, leasehold improvement incentives, and escalation clauses. At December 31, 2025, the Company has not considered such renewal provisions in the determination of the lease term, as it is not reasonably certain these options will be exercised. The terms of the leases do not impose any financial restrictions or covenants. Operating lease ROU assets of $5.2 million are presented in “Other non-current assets”, and lease liabilities of $5.7 million are presented in “Other current liabilities” and “Lease liability, non-current”, in the Consolidated Balance Sheets at December 31, 2025.</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Future undiscounted, minimum lease payments for the Company’s non-cancellable operating leases are as follows:</w:t>
      </w:r>
    </w:p>
    <w:tbl>
      <w:tblPr>
        <w:tblW w:w="4123" w:type="dxa"/>
        <w:jc w:val="left"/>
        <w:tblInd w:w="0" w:type="dxa"/>
        <w:tblLayout w:type="fixed"/>
        <w:tblCellMar>
          <w:top w:w="28" w:type="dxa"/>
          <w:left w:w="28" w:type="dxa"/>
          <w:bottom w:w="28" w:type="dxa"/>
          <w:right w:w="28" w:type="dxa"/>
        </w:tblCellMar>
      </w:tblPr>
      <w:tblGrid>
        <w:gridCol w:w="934"/>
        <w:gridCol w:w="821"/>
        <w:gridCol w:w="824"/>
        <w:gridCol w:w="334"/>
        <w:gridCol w:w="948"/>
        <w:gridCol w:w="262"/>
      </w:tblGrid>
      <w:tr>
        <w:trPr/>
        <w:tc>
          <w:tcPr>
            <w:tcW w:w="934"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Years Ending December 31,</w:t>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2026</w:t>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2,022 </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2027</w:t>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1,519 </w:t>
            </w:r>
          </w:p>
        </w:tc>
        <w:tc>
          <w:tcPr>
            <w:tcW w:w="26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2028</w:t>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1,337 </w:t>
            </w:r>
          </w:p>
        </w:tc>
        <w:tc>
          <w:tcPr>
            <w:tcW w:w="26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2029</w:t>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1,017 </w:t>
            </w:r>
          </w:p>
        </w:tc>
        <w:tc>
          <w:tcPr>
            <w:tcW w:w="26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2030</w:t>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988 </w:t>
            </w:r>
          </w:p>
        </w:tc>
        <w:tc>
          <w:tcPr>
            <w:tcW w:w="26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Thereafter</w:t>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83 </w:t>
            </w:r>
          </w:p>
        </w:tc>
        <w:tc>
          <w:tcPr>
            <w:tcW w:w="26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Total undiscounted lease payments </w:t>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6,966 </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Less: Imputed Interest</w:t>
            </w:r>
          </w:p>
        </w:tc>
        <w:tc>
          <w:tcPr>
            <w:tcW w:w="12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(1,285)</w:t>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Operating Lease Liabilities </w:t>
            </w:r>
          </w:p>
        </w:tc>
        <w:tc>
          <w:tcPr>
            <w:tcW w:w="3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5,681 </w:t>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293370"/>
                <wp:effectExtent l="0" t="0" r="0" b="0"/>
                <wp:wrapNone/>
                <wp:docPr id="173" name="Frame171"/>
                <a:graphic xmlns:a="http://schemas.openxmlformats.org/drawingml/2006/main">
                  <a:graphicData uri="http://schemas.microsoft.com/office/word/2010/wordprocessingShape">
                    <wps:wsp>
                      <wps:cNvSpPr txBox="1"/>
                      <wps:spPr>
                        <a:xfrm>
                          <a:off x="0" y="0"/>
                          <a:ext cx="6480175" cy="293370"/>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171</w:t>
                            </w:r>
                          </w:p>
                          <w:p>
                            <w:pPr>
                              <w:pStyle w:val="TextBody"/>
                              <w:bidi w:val="0"/>
                              <w:spacing w:lineRule="auto" w:line="288" w:before="0" w:after="180"/>
                              <w:jc w:val="left"/>
                              <w:rPr/>
                            </w:pPr>
                            <w:hyperlink w:anchor="i8e13d1b6f3764394b0e424082d2ac79f_151">
                              <w:r>
                                <w:rPr>
                                  <w:rStyle w:val="InternetLink"/>
                                  <w:rFonts w:ascii="Times New Roman;serif" w:hAnsi="Times New Roman;serif"/>
                                  <w:b w:val="false"/>
                                  <w:color w:val="0000FF"/>
                                  <w:sz w:val="20"/>
                                  <w:u w:val="single"/>
                                </w:rPr>
                                <w:t>Table of Contents</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171</w:t>
                      </w:r>
                    </w:p>
                    <w:p>
                      <w:pPr>
                        <w:pStyle w:val="TextBody"/>
                        <w:bidi w:val="0"/>
                        <w:spacing w:lineRule="auto" w:line="288" w:before="0" w:after="180"/>
                        <w:jc w:val="left"/>
                        <w:rPr/>
                      </w:pPr>
                      <w:hyperlink w:anchor="i8e13d1b6f3764394b0e424082d2ac79f_151">
                        <w:r>
                          <w:rPr>
                            <w:rStyle w:val="InternetLink"/>
                            <w:rFonts w:ascii="Times New Roman;serif" w:hAnsi="Times New Roman;serif"/>
                            <w:b w:val="false"/>
                            <w:color w:val="0000FF"/>
                            <w:sz w:val="20"/>
                            <w:u w:val="single"/>
                          </w:rPr>
                          <w:t>Table of Contents</w:t>
                        </w:r>
                      </w:hyperlink>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FIGURE TECHNOLOGY SOLUTIONS,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tables in thousands, except share and per share data, units, ratios or as otherwise noted)</w:t>
      </w:r>
    </w:p>
    <w:p>
      <w:pPr>
        <w:pStyle w:val="TextBody"/>
        <w:bidi w:val="0"/>
        <w:spacing w:before="0" w:after="180"/>
        <w:jc w:val="center"/>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At December 31, 2025 and 2024, the weighted average remaining lease term for operating leases was 4.2 years and 1.2 years, respectively, and the weighted average discount rate was 1.0% and 2.0%, respectively. The Company paid $2.7 million and $3.0 million in cash included in the measurement of lease liabilities for the years ended December 31, 2025 and 2024,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NOTE 11 – RELATED PARTY TRANSACTIONS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Provenance Blockchain Foundation</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Term Note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July 2022, FT entered into an interest bearing term note with the Provenance Blockchain Foundation (“Provenance”), pursuant to which FT provided Provenance with a $5.0 million loan, which was subsequently amended on June 12, 2023, to increase the total principal amount to $9.1 million. The term note was held by FMH and was eligible to be settled in cash or an equivalent value of HASH at maturity. At December 31, 2024 the outstanding principal of the loan, including interest paid in-kind, was recorded at $9.4 million, as “Loan to related parties” in the Consolidated Balance Sheets. Interest accrued on the note was $0.7 million and $0.8 million for the years ended December 31, 2025 and 2024, respectively, recorded as “Interest income” in the Consolidated Statements of Operations.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On December 31, 2025, the loan was settled in full. The total loan balance at the time of payoff, including all accrued interest, was $10.1 million. As allowed by the terms of the note, the payoff was satisfied through the transfer of 4,969,120,678 HASH tokens. The per token value of the HASH tokens was determined to be $0.00205, based on a valuation report provided by an independent third party. This valuation resulted in a total transfer value of $10.2 million. As the transfer of HASH tokens resulted in an overpayment by Provenance of $0.1 million, the Company recorded a payable to related party of $0.1 million, representing 31,707,317 HASH tokens to be returned to Provenance.</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Gas Fee Service Provider</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February 2025, FCC entered into a services agreement with Provenance whereby Provenance pays, on behalf of FCC, HASH to cover fees to network validators for processing and validating operations on the blockchain incurred in connection with the purchase or sale of the face-amount certificates issued by FCC and transacted on Provenance’s blockchain (“Provenance Blockchain”). FCC reimburses Provenance in cash in an amount equal to the then-current market value of HASH paid by Provenance. The Company recognized $1 thousand incurred under the services agreement for the year ended December 31, 2025, respectively, recorded as expense in “Operations and processing” on the Consolidated Statements of Operations. At December 31, 2025 the Company owed $1 thousand to Provenance recorded in “Accounts payable and accrued liabilities” in the Consolidated Balance Sheets.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Signum Ltd. (dba Hastra)</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December 2025, the Company entered into a Software License Agreement (the “Agreement”) with Signum Ltd.. (dba Hastra) (“Hastra”). Under the terms of the Agreement, the Company granted Hastra a nonexclusive, non-sublicensable, and nontransferable license to use certain proprietary software to support their protocol. In exchange for the license and ongoing maintenance and support services, Hastra pays the Company a royalty fee equal to 0.50% (50 basis points) of the per-transaction revenue earned from the protocol.</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initial term of the Agreement is three years, expiring in December 2028, with automatic one-year renewals thereafter. For the year ended December 31, 2025, the Company recognized no revenue related to this Agreement, and there were no outstanding receivables due from Hastra as of December 31, 2025.</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Additionally, Hastra holds YLDS as part of their protocol activity; the YLDS held by Hastra are recorded in “Debt, current to related parties” in the Consolidated Balance Sheets.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Investments in Loan Securitizations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retains beneficial interests in loan securitization trusts that it sponsors. See Notes 3 and 9 for additional detail.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293370"/>
                <wp:effectExtent l="0" t="0" r="0" b="0"/>
                <wp:wrapNone/>
                <wp:docPr id="174" name="Frame172"/>
                <a:graphic xmlns:a="http://schemas.openxmlformats.org/drawingml/2006/main">
                  <a:graphicData uri="http://schemas.microsoft.com/office/word/2010/wordprocessingShape">
                    <wps:wsp>
                      <wps:cNvSpPr txBox="1"/>
                      <wps:spPr>
                        <a:xfrm>
                          <a:off x="0" y="0"/>
                          <a:ext cx="6480175" cy="293370"/>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172</w:t>
                            </w:r>
                          </w:p>
                          <w:p>
                            <w:pPr>
                              <w:pStyle w:val="TextBody"/>
                              <w:bidi w:val="0"/>
                              <w:spacing w:lineRule="auto" w:line="288" w:before="0" w:after="180"/>
                              <w:jc w:val="left"/>
                              <w:rPr/>
                            </w:pPr>
                            <w:hyperlink w:anchor="i8e13d1b6f3764394b0e424082d2ac79f_151">
                              <w:r>
                                <w:rPr>
                                  <w:rStyle w:val="InternetLink"/>
                                  <w:rFonts w:ascii="Times New Roman;serif" w:hAnsi="Times New Roman;serif"/>
                                  <w:b w:val="false"/>
                                  <w:color w:val="0000FF"/>
                                  <w:sz w:val="20"/>
                                  <w:u w:val="single"/>
                                </w:rPr>
                                <w:t>Table of Contents</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172</w:t>
                      </w:r>
                    </w:p>
                    <w:p>
                      <w:pPr>
                        <w:pStyle w:val="TextBody"/>
                        <w:bidi w:val="0"/>
                        <w:spacing w:lineRule="auto" w:line="288" w:before="0" w:after="180"/>
                        <w:jc w:val="left"/>
                        <w:rPr/>
                      </w:pPr>
                      <w:hyperlink w:anchor="i8e13d1b6f3764394b0e424082d2ac79f_151">
                        <w:r>
                          <w:rPr>
                            <w:rStyle w:val="InternetLink"/>
                            <w:rFonts w:ascii="Times New Roman;serif" w:hAnsi="Times New Roman;serif"/>
                            <w:b w:val="false"/>
                            <w:color w:val="0000FF"/>
                            <w:sz w:val="20"/>
                            <w:u w:val="single"/>
                          </w:rPr>
                          <w:t>Table of Contents</w:t>
                        </w:r>
                      </w:hyperlink>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FIGURE TECHNOLOGY SOLUTIONS,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tables in thousands, except share and per share data, units, ratios or as otherwise noted)</w:t>
      </w:r>
    </w:p>
    <w:p>
      <w:pPr>
        <w:pStyle w:val="TextBody"/>
        <w:bidi w:val="0"/>
        <w:spacing w:before="0" w:after="180"/>
        <w:jc w:val="center"/>
        <w:rPr/>
      </w:pPr>
      <w:r>
        <w:rPr/>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Employee DSCR Loan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In May 2025, the Company issued a debt-service coverage ratio (“DSCR”) loan to an employee. The principal amount of the loan was $0.1 million, with interest rate of 6.90% per annum, and maturity in June 2055. On August 15, 2025, the employee repaid the loan in full in an amount equal to $0.1 million, including principal of approximately $0.1 million and total accrued unpaid interest of approximately $0.0 million. </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Transactions with Equity-Method Investees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Reflow</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holds a 17.3% interest in Reflow contributed to the Company by the Controlling Party. The Company received distributed profits of $0.8 million, $0.9 million and $0.5 million for the years ended December 31, 2025, 2024 and 2023, respectively, recorded in “Other revenue” in the Consolidated Statements of Operations. See Note 3 for detail on the Company’s investment in Reflow.</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Domestic Solana Fund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Domestic Solana Fund acquired its investments in SOL primarily through auctions held through the FTX Trading Ltd. (“FTX”) bankruptcy proceedings through a purchase and sale agreement with Alameda Research and Maclaurin Investments. The Company recorded contributions, net of distributions, to the Domestic Solana Fund in “Other non-current assets” in the Consolidated Balance Sheets as follows:</w:t>
      </w:r>
    </w:p>
    <w:tbl>
      <w:tblPr>
        <w:tblW w:w="3598" w:type="dxa"/>
        <w:jc w:val="left"/>
        <w:tblInd w:w="0" w:type="dxa"/>
        <w:tblLayout w:type="fixed"/>
        <w:tblCellMar>
          <w:top w:w="28" w:type="dxa"/>
          <w:left w:w="28" w:type="dxa"/>
          <w:bottom w:w="28" w:type="dxa"/>
          <w:right w:w="28" w:type="dxa"/>
        </w:tblCellMar>
      </w:tblPr>
      <w:tblGrid>
        <w:gridCol w:w="386"/>
        <w:gridCol w:w="339"/>
        <w:gridCol w:w="341"/>
        <w:gridCol w:w="196"/>
        <w:gridCol w:w="557"/>
        <w:gridCol w:w="109"/>
        <w:gridCol w:w="109"/>
        <w:gridCol w:w="109"/>
        <w:gridCol w:w="109"/>
        <w:gridCol w:w="196"/>
        <w:gridCol w:w="557"/>
        <w:gridCol w:w="109"/>
        <w:gridCol w:w="109"/>
        <w:gridCol w:w="109"/>
        <w:gridCol w:w="109"/>
        <w:gridCol w:w="154"/>
      </w:tblGrid>
      <w:tr>
        <w:trPr/>
        <w:tc>
          <w:tcPr>
            <w:tcW w:w="38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Years Ended December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Contributions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See Note 3 for detail on the Company’s investment in Domestic Solana Fund.</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Transactions with the Controlling Party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incurred $1.1 million, $0.6 million and $1.0 million for the years ended December 31, 2025, 2024 and 2023, respectively, in costs to arrange travel for the Controlling Party and other affiliates, recorded as “General and administrative” expense in the Consolidated Statements of Operations.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of December 31, 2025, the Controlling Party holds $0.4 million of YLDS issued by FCC, recorded as “Debt, current” on the Consolidated Balance Sheets. The Controlling Party’s holdings are on normal market terms and do not include any preferential terms, guarantees, or other arrangements with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293370"/>
                <wp:effectExtent l="0" t="0" r="0" b="0"/>
                <wp:wrapNone/>
                <wp:docPr id="175" name="Frame173"/>
                <a:graphic xmlns:a="http://schemas.openxmlformats.org/drawingml/2006/main">
                  <a:graphicData uri="http://schemas.microsoft.com/office/word/2010/wordprocessingShape">
                    <wps:wsp>
                      <wps:cNvSpPr txBox="1"/>
                      <wps:spPr>
                        <a:xfrm>
                          <a:off x="0" y="0"/>
                          <a:ext cx="6480175" cy="293370"/>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173</w:t>
                            </w:r>
                          </w:p>
                          <w:p>
                            <w:pPr>
                              <w:pStyle w:val="TextBody"/>
                              <w:bidi w:val="0"/>
                              <w:spacing w:lineRule="auto" w:line="288" w:before="0" w:after="180"/>
                              <w:jc w:val="left"/>
                              <w:rPr/>
                            </w:pPr>
                            <w:hyperlink w:anchor="i8e13d1b6f3764394b0e424082d2ac79f_151">
                              <w:r>
                                <w:rPr>
                                  <w:rStyle w:val="InternetLink"/>
                                  <w:rFonts w:ascii="Times New Roman;serif" w:hAnsi="Times New Roman;serif"/>
                                  <w:b w:val="false"/>
                                  <w:color w:val="0000FF"/>
                                  <w:sz w:val="20"/>
                                  <w:u w:val="single"/>
                                </w:rPr>
                                <w:t>Table of Contents</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173</w:t>
                      </w:r>
                    </w:p>
                    <w:p>
                      <w:pPr>
                        <w:pStyle w:val="TextBody"/>
                        <w:bidi w:val="0"/>
                        <w:spacing w:lineRule="auto" w:line="288" w:before="0" w:after="180"/>
                        <w:jc w:val="left"/>
                        <w:rPr/>
                      </w:pPr>
                      <w:hyperlink w:anchor="i8e13d1b6f3764394b0e424082d2ac79f_151">
                        <w:r>
                          <w:rPr>
                            <w:rStyle w:val="InternetLink"/>
                            <w:rFonts w:ascii="Times New Roman;serif" w:hAnsi="Times New Roman;serif"/>
                            <w:b w:val="false"/>
                            <w:color w:val="0000FF"/>
                            <w:sz w:val="20"/>
                            <w:u w:val="single"/>
                          </w:rPr>
                          <w:t>Table of Contents</w:t>
                        </w:r>
                      </w:hyperlink>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FIGURE TECHNOLOGY SOLUTIONS,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tables in thousands, except share and per share data, units, ratios or as otherwise noted)</w:t>
      </w:r>
    </w:p>
    <w:p>
      <w:pPr>
        <w:pStyle w:val="TextBody"/>
        <w:bidi w:val="0"/>
        <w:spacing w:before="0" w:after="180"/>
        <w:jc w:val="center"/>
        <w:rPr/>
      </w:pPr>
      <w:r>
        <w:rPr/>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NOTE 12 – FAIR VALUE MEASUREMENTS</w:t>
      </w: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Assets and Liabilities Recorded at Fair Value on a Recurring Basis</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information about the assets and liabilities that are measured at fair value on a recurring basis at December 31, 2025 and 2024:</w:t>
      </w:r>
    </w:p>
    <w:tbl>
      <w:tblPr>
        <w:tblW w:w="10205" w:type="dxa"/>
        <w:jc w:val="left"/>
        <w:tblInd w:w="0" w:type="dxa"/>
        <w:tblLayout w:type="fixed"/>
        <w:tblCellMar>
          <w:top w:w="28" w:type="dxa"/>
          <w:left w:w="28" w:type="dxa"/>
          <w:bottom w:w="28" w:type="dxa"/>
          <w:right w:w="28" w:type="dxa"/>
        </w:tblCellMar>
      </w:tblPr>
      <w:tblGrid>
        <w:gridCol w:w="1150"/>
        <w:gridCol w:w="1006"/>
        <w:gridCol w:w="1019"/>
        <w:gridCol w:w="206"/>
        <w:gridCol w:w="919"/>
        <w:gridCol w:w="114"/>
        <w:gridCol w:w="109"/>
        <w:gridCol w:w="109"/>
        <w:gridCol w:w="109"/>
        <w:gridCol w:w="196"/>
        <w:gridCol w:w="871"/>
        <w:gridCol w:w="109"/>
        <w:gridCol w:w="109"/>
        <w:gridCol w:w="109"/>
        <w:gridCol w:w="109"/>
        <w:gridCol w:w="196"/>
        <w:gridCol w:w="736"/>
        <w:gridCol w:w="109"/>
        <w:gridCol w:w="109"/>
        <w:gridCol w:w="109"/>
        <w:gridCol w:w="109"/>
        <w:gridCol w:w="196"/>
        <w:gridCol w:w="736"/>
        <w:gridCol w:w="109"/>
        <w:gridCol w:w="109"/>
        <w:gridCol w:w="109"/>
        <w:gridCol w:w="109"/>
        <w:gridCol w:w="196"/>
        <w:gridCol w:w="871"/>
        <w:gridCol w:w="158"/>
      </w:tblGrid>
      <w:tr>
        <w:trPr/>
        <w:tc>
          <w:tcPr>
            <w:tcW w:w="1150"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0"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4"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3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Level 3</w:t>
            </w:r>
            <w:r>
              <w:rPr>
                <w:rFonts w:ascii="Times New Roman;serif" w:hAnsi="Times New Roman;serif"/>
                <w:b/>
                <w:color w:val="000000"/>
                <w:sz w:val="10"/>
              </w:rPr>
              <w: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Assets:</w:t>
            </w:r>
          </w:p>
        </w:tc>
        <w:tc>
          <w:tcPr>
            <w:tcW w:w="12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1,198,141 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955,200 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242,941 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1,198,141 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Restricted cash</w:t>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68,637 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68,637 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68,637 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6"/>
              </w:rPr>
              <w:t>Digital assets</w:t>
            </w:r>
            <w:r>
              <w:rPr>
                <w:rFonts w:ascii="Times New Roman;serif" w:hAnsi="Times New Roman;serif"/>
                <w:b w:val="false"/>
                <w:color w:val="000000"/>
                <w:sz w:val="10"/>
              </w:rPr>
              <w:t>(B)</w:t>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88,511 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88,511 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88,511 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6"/>
              </w:rPr>
              <w:t>Distressed asset claims</w:t>
            </w:r>
            <w:r>
              <w:rPr>
                <w:rFonts w:ascii="Times New Roman;serif" w:hAnsi="Times New Roman;serif"/>
                <w:b w:val="false"/>
                <w:color w:val="000000"/>
                <w:sz w:val="10"/>
              </w:rPr>
              <w:t>(C)</w:t>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3,068 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3,068 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6"/>
              </w:rPr>
              <w:t>Marketable securities, at fair value</w:t>
            </w:r>
            <w:r>
              <w:rPr>
                <w:rFonts w:ascii="Times New Roman;serif" w:hAnsi="Times New Roman;serif"/>
                <w:b w:val="false"/>
                <w:color w:val="000000"/>
                <w:sz w:val="10"/>
              </w:rPr>
              <w:t>(D)</w:t>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273,151 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232,985 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40,166 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273,151 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6"/>
              </w:rPr>
              <w:t>Loans held for sale, at fair value</w:t>
            </w:r>
            <w:r>
              <w:rPr>
                <w:color w:val="000000"/>
              </w:rPr>
              <w:t xml:space="preserve"> </w:t>
            </w:r>
            <w:r>
              <w:rPr>
                <w:rFonts w:ascii="Times New Roman;serif" w:hAnsi="Times New Roman;serif"/>
                <w:b w:val="false"/>
                <w:color w:val="000000"/>
                <w:sz w:val="10"/>
              </w:rPr>
              <w:t>(E)</w:t>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404,337 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404,337 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404,337 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6"/>
              </w:rPr>
              <w:t>Loan servicing assets, at fair value</w:t>
            </w:r>
            <w:r>
              <w:rPr>
                <w:color w:val="000000"/>
              </w:rPr>
              <w:t xml:space="preserve"> </w:t>
            </w:r>
            <w:r>
              <w:rPr>
                <w:rFonts w:ascii="Times New Roman;serif" w:hAnsi="Times New Roman;serif"/>
                <w:b w:val="false"/>
                <w:color w:val="000000"/>
                <w:sz w:val="10"/>
              </w:rPr>
              <w:t>(E)</w:t>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113,064 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113,064 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113,064 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6"/>
              </w:rPr>
              <w:t>Treasury note futures</w:t>
            </w:r>
            <w:r>
              <w:rPr>
                <w:color w:val="000000"/>
              </w:rPr>
              <w:t xml:space="preserve"> </w:t>
            </w:r>
            <w:r>
              <w:rPr>
                <w:rFonts w:ascii="Times New Roman;serif" w:hAnsi="Times New Roman;serif"/>
                <w:b w:val="false"/>
                <w:color w:val="000000"/>
                <w:sz w:val="10"/>
              </w:rPr>
              <w:t>(F)</w:t>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442 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Total assets </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2,149,351 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1,112,790 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475,926 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560,635 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2,149,351 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Liabilities:</w:t>
            </w:r>
          </w:p>
        </w:tc>
        <w:tc>
          <w:tcPr>
            <w:tcW w:w="1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Digital asset collateral repayment obligation</w:t>
            </w:r>
            <w:r>
              <w:rPr>
                <w:rFonts w:ascii="Times New Roman;serif" w:hAnsi="Times New Roman;serif"/>
                <w:b w:val="false"/>
                <w:color w:val="000000"/>
                <w:sz w:val="10"/>
              </w:rPr>
              <w:t>(G)</w:t>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52,569 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52,569 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52,569 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6"/>
              </w:rPr>
              <w:t>Certificate repayment obligation</w:t>
            </w:r>
            <w:r>
              <w:rPr>
                <w:rFonts w:ascii="Times New Roman;serif" w:hAnsi="Times New Roman;serif"/>
                <w:b w:val="false"/>
                <w:color w:val="000000"/>
                <w:sz w:val="10"/>
              </w:rPr>
              <w:t>(G)</w:t>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266,654 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266,654 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266,654 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5"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3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Total liabilities </w:t>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319,223 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52,569 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266,654 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319,223 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180" w:type="dxa"/>
        <w:jc w:val="left"/>
        <w:tblInd w:w="0" w:type="dxa"/>
        <w:tblLayout w:type="fixed"/>
        <w:tblCellMar>
          <w:top w:w="28" w:type="dxa"/>
          <w:left w:w="28" w:type="dxa"/>
          <w:bottom w:w="28" w:type="dxa"/>
          <w:right w:w="28" w:type="dxa"/>
        </w:tblCellMar>
      </w:tblPr>
      <w:tblGrid>
        <w:gridCol w:w="1190"/>
        <w:gridCol w:w="1041"/>
        <w:gridCol w:w="1053"/>
        <w:gridCol w:w="207"/>
        <w:gridCol w:w="922"/>
        <w:gridCol w:w="115"/>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871"/>
        <w:gridCol w:w="154"/>
      </w:tblGrid>
      <w:tr>
        <w:trPr/>
        <w:tc>
          <w:tcPr>
            <w:tcW w:w="1190"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6"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3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3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Level 3</w:t>
            </w:r>
            <w:r>
              <w:rPr>
                <w:rFonts w:ascii="Times New Roman;serif" w:hAnsi="Times New Roman;serif"/>
                <w:b/>
                <w:color w:val="000000"/>
                <w:sz w:val="10"/>
              </w:rPr>
              <w: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Assets:</w:t>
            </w:r>
          </w:p>
        </w:tc>
        <w:tc>
          <w:tcPr>
            <w:tcW w:w="12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6"/>
              </w:rPr>
              <w:t>Cash and cash equivalents</w:t>
            </w:r>
            <w:r>
              <w:rPr>
                <w:rFonts w:ascii="Times New Roman;serif" w:hAnsi="Times New Roman;serif"/>
                <w:b w:val="false"/>
                <w:color w:val="000000"/>
                <w:sz w:val="10"/>
              </w:rPr>
              <w:t>(H)</w:t>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289,670 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289,670 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289,670 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Restricted cash</w:t>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57,777 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57,777 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57,777 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6"/>
              </w:rPr>
              <w:t>Digital assets</w:t>
            </w:r>
            <w:r>
              <w:rPr>
                <w:rFonts w:ascii="Times New Roman;serif" w:hAnsi="Times New Roman;serif"/>
                <w:b w:val="false"/>
                <w:color w:val="000000"/>
                <w:sz w:val="10"/>
              </w:rPr>
              <w:t>(B)(H)</w:t>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83,622 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83,622 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83,622 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6"/>
              </w:rPr>
              <w:t>Distressed asset claims</w:t>
            </w:r>
            <w:r>
              <w:rPr>
                <w:rFonts w:ascii="Times New Roman;serif" w:hAnsi="Times New Roman;serif"/>
                <w:b w:val="false"/>
                <w:color w:val="000000"/>
                <w:sz w:val="10"/>
              </w:rPr>
              <w:t>(C)</w:t>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7,589 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6"/>
              </w:rPr>
              <w:t>Marketable securities, at fair value</w:t>
            </w:r>
            <w:r>
              <w:rPr>
                <w:rFonts w:ascii="Times New Roman;serif" w:hAnsi="Times New Roman;serif"/>
                <w:b w:val="false"/>
                <w:color w:val="000000"/>
                <w:sz w:val="10"/>
              </w:rPr>
              <w:t>(D)</w:t>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163,489 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128,983 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34,506 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163,489 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6"/>
              </w:rPr>
              <w:t>Loans held for sale, at fair value</w:t>
            </w:r>
            <w:r>
              <w:rPr>
                <w:color w:val="000000"/>
              </w:rPr>
              <w:t xml:space="preserve"> </w:t>
            </w:r>
            <w:r>
              <w:rPr>
                <w:rFonts w:ascii="Times New Roman;serif" w:hAnsi="Times New Roman;serif"/>
                <w:b w:val="false"/>
                <w:color w:val="000000"/>
                <w:sz w:val="10"/>
              </w:rPr>
              <w:t>(E)</w:t>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395,922 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395,922 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395,922 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6"/>
              </w:rPr>
              <w:t>Loan servicing assets, at fair value</w:t>
            </w:r>
            <w:r>
              <w:rPr>
                <w:color w:val="000000"/>
              </w:rPr>
              <w:t xml:space="preserve"> </w:t>
            </w:r>
            <w:r>
              <w:rPr>
                <w:rFonts w:ascii="Times New Roman;serif" w:hAnsi="Times New Roman;serif"/>
                <w:b w:val="false"/>
                <w:color w:val="000000"/>
                <w:sz w:val="10"/>
              </w:rPr>
              <w:t>(E)</w:t>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88,497 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88,497 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88,497 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Total assets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1,086,566 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431,069 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128,983 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526,514 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1,086,566 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Liabilities:</w:t>
            </w:r>
          </w:p>
        </w:tc>
        <w:tc>
          <w:tcPr>
            <w:tcW w:w="1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6"/>
              </w:rPr>
              <w:t>Digital asset collateral repayment obligation</w:t>
            </w:r>
            <w:r>
              <w:rPr>
                <w:rFonts w:ascii="Times New Roman;serif" w:hAnsi="Times New Roman;serif"/>
                <w:b w:val="false"/>
                <w:color w:val="000000"/>
                <w:sz w:val="10"/>
              </w:rPr>
              <w:t>(G)</w:t>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64,447 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64,447 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64,447 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3284"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Total liabilities </w:t>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64,447 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64,447 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64,447 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both"/>
        <w:rPr/>
      </w:pPr>
      <w:r>
        <w:rPr>
          <w:rFonts w:ascii="Times New Roman;serif" w:hAnsi="Times New Roman;serif"/>
          <w:b w:val="false"/>
          <w:color w:val="000000"/>
          <w:sz w:val="10"/>
        </w:rPr>
        <w:t>(A)</w:t>
      </w:r>
      <w:r>
        <w:rPr>
          <w:color w:val="000000"/>
        </w:rPr>
        <w:t>    </w:t>
      </w:r>
      <w:r>
        <w:rPr>
          <w:rFonts w:ascii="Times New Roman;serif" w:hAnsi="Times New Roman;serif"/>
          <w:b w:val="false"/>
          <w:color w:val="000000"/>
          <w:sz w:val="16"/>
        </w:rPr>
        <w:t>There were no transfers of Level 3 instruments to, or from, other fair value levels during the periods presented.</w:t>
      </w:r>
    </w:p>
    <w:p>
      <w:pPr>
        <w:pStyle w:val="TextBody"/>
        <w:bidi w:val="0"/>
        <w:spacing w:lineRule="auto" w:line="288" w:before="0" w:after="0"/>
        <w:ind w:left="0" w:right="0" w:hanging="180"/>
        <w:jc w:val="both"/>
        <w:rPr/>
      </w:pPr>
      <w:r>
        <w:rPr>
          <w:rFonts w:ascii="Times New Roman;serif" w:hAnsi="Times New Roman;serif"/>
          <w:b w:val="false"/>
          <w:color w:val="000000"/>
          <w:sz w:val="10"/>
        </w:rPr>
        <w:t>(B)</w:t>
      </w:r>
      <w:r>
        <w:rPr>
          <w:color w:val="000000"/>
        </w:rPr>
        <w:t>    </w:t>
      </w:r>
      <w:r>
        <w:rPr>
          <w:rFonts w:ascii="Times New Roman;serif" w:hAnsi="Times New Roman;serif"/>
          <w:b w:val="false"/>
          <w:color w:val="000000"/>
          <w:sz w:val="16"/>
        </w:rPr>
        <w:t>Included in “Digital assets” and “Digital assets, non-current” in the Consolidated Balance Sheets and represents digital assets held for sale at fair value, and excludes digital assets held at cost that are considered intangible assets.</w:t>
      </w:r>
    </w:p>
    <w:p>
      <w:pPr>
        <w:pStyle w:val="TextBody"/>
        <w:bidi w:val="0"/>
        <w:spacing w:lineRule="auto" w:line="288" w:before="0" w:after="0"/>
        <w:ind w:left="0" w:right="0" w:hanging="180"/>
        <w:jc w:val="both"/>
        <w:rPr/>
      </w:pPr>
      <w:r>
        <w:rPr>
          <w:rFonts w:ascii="Times New Roman;serif" w:hAnsi="Times New Roman;serif"/>
          <w:b w:val="false"/>
          <w:color w:val="000000"/>
          <w:sz w:val="10"/>
        </w:rPr>
        <w:t>(C)</w:t>
      </w:r>
      <w:r>
        <w:rPr>
          <w:color w:val="000000"/>
        </w:rPr>
        <w:t>    </w:t>
      </w:r>
      <w:r>
        <w:rPr>
          <w:rFonts w:ascii="Times New Roman;serif" w:hAnsi="Times New Roman;serif"/>
          <w:b w:val="false"/>
          <w:color w:val="000000"/>
          <w:sz w:val="16"/>
        </w:rPr>
        <w:t>Included in “Other current assets” in the Consolidated Balance Sheets.</w:t>
      </w:r>
    </w:p>
    <w:p>
      <w:pPr>
        <w:pStyle w:val="TextBody"/>
        <w:bidi w:val="0"/>
        <w:spacing w:lineRule="auto" w:line="288" w:before="0" w:after="0"/>
        <w:ind w:left="0" w:right="0" w:hanging="180"/>
        <w:jc w:val="both"/>
        <w:rPr/>
      </w:pPr>
      <w:r>
        <w:rPr>
          <w:rFonts w:ascii="Times New Roman;serif" w:hAnsi="Times New Roman;serif"/>
          <w:b w:val="false"/>
          <w:color w:val="000000"/>
          <w:sz w:val="10"/>
        </w:rPr>
        <w:t>(D)</w:t>
      </w:r>
      <w:r>
        <w:rPr>
          <w:color w:val="000000"/>
        </w:rPr>
        <w:t>    </w:t>
      </w:r>
      <w:r>
        <w:rPr>
          <w:rFonts w:ascii="Times New Roman;serif" w:hAnsi="Times New Roman;serif"/>
          <w:b w:val="false"/>
          <w:color w:val="000000"/>
          <w:sz w:val="16"/>
        </w:rPr>
        <w:t>Residual interest securities and non-rated securities in securitizations not considered debt securities are included within Level 3 of the fair value hierarchy.</w:t>
      </w:r>
    </w:p>
    <w:p>
      <w:pPr>
        <w:pStyle w:val="TextBody"/>
        <w:bidi w:val="0"/>
        <w:spacing w:lineRule="auto" w:line="288" w:before="0" w:after="0"/>
        <w:ind w:left="0" w:right="0" w:hanging="180"/>
        <w:jc w:val="both"/>
        <w:rPr/>
      </w:pPr>
      <w:r>
        <w:rPr>
          <w:rFonts w:ascii="Times New Roman;serif" w:hAnsi="Times New Roman;serif"/>
          <w:b w:val="false"/>
          <w:color w:val="000000"/>
          <w:sz w:val="10"/>
        </w:rPr>
        <w:t xml:space="preserve">(E) </w:t>
      </w:r>
      <w:r>
        <w:rPr>
          <w:rFonts w:ascii="Times New Roman;serif" w:hAnsi="Times New Roman;serif"/>
          <w:b w:val="false"/>
          <w:color w:val="000000"/>
          <w:sz w:val="16"/>
        </w:rPr>
        <w:t xml:space="preserve">See Notes 4 and 5 regarding changes in the carrying values of servicing assets and loans, respectively. </w:t>
      </w:r>
    </w:p>
    <w:p>
      <w:pPr>
        <w:pStyle w:val="TextBody"/>
        <w:bidi w:val="0"/>
        <w:spacing w:lineRule="auto" w:line="288" w:before="0" w:after="0"/>
        <w:ind w:left="0" w:right="0" w:hanging="180"/>
        <w:jc w:val="both"/>
        <w:rPr/>
      </w:pPr>
      <w:r>
        <w:rPr>
          <w:rFonts w:ascii="Times New Roman;serif" w:hAnsi="Times New Roman;serif"/>
          <w:b w:val="false"/>
          <w:color w:val="000000"/>
          <w:sz w:val="10"/>
        </w:rPr>
        <w:t>(F)</w:t>
      </w:r>
      <w:r>
        <w:rPr>
          <w:color w:val="000000"/>
        </w:rPr>
        <w:t>    </w:t>
      </w:r>
      <w:r>
        <w:rPr>
          <w:rFonts w:ascii="Times New Roman;serif" w:hAnsi="Times New Roman;serif"/>
          <w:b w:val="false"/>
          <w:color w:val="000000"/>
          <w:sz w:val="16"/>
        </w:rPr>
        <w:t>Treasury note future assets are recorded in “Other current assets”, and treasury note future liabilities in “Other current liabilities"</w:t>
      </w:r>
      <w:r>
        <w:rPr>
          <w:color w:val="000000"/>
        </w:rPr>
        <w:t xml:space="preserve"> </w:t>
      </w:r>
      <w:r>
        <w:rPr>
          <w:rFonts w:ascii="Times New Roman;serif" w:hAnsi="Times New Roman;serif"/>
          <w:b w:val="false"/>
          <w:color w:val="000000"/>
          <w:sz w:val="16"/>
        </w:rPr>
        <w:t>in the Consolidated Balance Sheets.</w:t>
      </w:r>
    </w:p>
    <w:p>
      <w:pPr>
        <w:pStyle w:val="TextBody"/>
        <w:bidi w:val="0"/>
        <w:spacing w:lineRule="auto" w:line="288" w:before="0" w:after="0"/>
        <w:ind w:left="0" w:right="0" w:hanging="180"/>
        <w:jc w:val="both"/>
        <w:rPr/>
      </w:pPr>
      <w:r>
        <w:rPr>
          <w:rFonts w:ascii="Times New Roman;serif" w:hAnsi="Times New Roman;serif"/>
          <w:b w:val="false"/>
          <w:color w:val="000000"/>
          <w:sz w:val="10"/>
        </w:rPr>
        <w:t xml:space="preserve">(G) </w:t>
      </w:r>
      <w:r>
        <w:rPr>
          <w:rFonts w:ascii="Times New Roman;serif" w:hAnsi="Times New Roman;serif"/>
          <w:b w:val="false"/>
          <w:color w:val="000000"/>
          <w:sz w:val="16"/>
        </w:rPr>
        <w:t>Included in “Debt, current” in the Consolidated Balance Sheets.</w:t>
      </w:r>
    </w:p>
    <w:p>
      <w:pPr>
        <w:pStyle w:val="TextBody"/>
        <w:bidi w:val="0"/>
        <w:spacing w:lineRule="auto" w:line="288" w:before="0" w:after="180"/>
        <w:ind w:left="0" w:right="0" w:hanging="180"/>
        <w:jc w:val="both"/>
        <w:rPr/>
      </w:pPr>
      <w:r>
        <w:rPr>
          <w:rFonts w:ascii="Times New Roman;serif" w:hAnsi="Times New Roman;serif"/>
          <w:b w:val="false"/>
          <w:color w:val="000000"/>
          <w:sz w:val="10"/>
        </w:rPr>
        <w:t xml:space="preserve">(H) </w:t>
      </w:r>
      <w:r>
        <w:rPr>
          <w:rFonts w:ascii="Times New Roman;serif" w:hAnsi="Times New Roman;serif"/>
          <w:b w:val="false"/>
          <w:color w:val="000000"/>
          <w:sz w:val="16"/>
        </w:rPr>
        <w:t>During the current period, we reclassified payment stablecoins from “Digital assets” to “Cash and cash equivalents”. Prior period amounts have been recast to conform to the current period presentation. This reclassification resulted in an increase to “Cash and cash equivalents” and a corresponding decrease to “Digital assets” of $2.4 million as of December 31, 2024. For further information, see Note 2, Change in Accounting Principle, to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293370"/>
                <wp:effectExtent l="0" t="0" r="0" b="0"/>
                <wp:wrapNone/>
                <wp:docPr id="176" name="Frame174"/>
                <a:graphic xmlns:a="http://schemas.openxmlformats.org/drawingml/2006/main">
                  <a:graphicData uri="http://schemas.microsoft.com/office/word/2010/wordprocessingShape">
                    <wps:wsp>
                      <wps:cNvSpPr txBox="1"/>
                      <wps:spPr>
                        <a:xfrm>
                          <a:off x="0" y="0"/>
                          <a:ext cx="6480175" cy="293370"/>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174</w:t>
                            </w:r>
                          </w:p>
                          <w:p>
                            <w:pPr>
                              <w:pStyle w:val="TextBody"/>
                              <w:bidi w:val="0"/>
                              <w:spacing w:lineRule="auto" w:line="288" w:before="0" w:after="180"/>
                              <w:jc w:val="left"/>
                              <w:rPr/>
                            </w:pPr>
                            <w:hyperlink w:anchor="i8e13d1b6f3764394b0e424082d2ac79f_151">
                              <w:r>
                                <w:rPr>
                                  <w:rStyle w:val="InternetLink"/>
                                  <w:rFonts w:ascii="Times New Roman;serif" w:hAnsi="Times New Roman;serif"/>
                                  <w:b w:val="false"/>
                                  <w:color w:val="0000FF"/>
                                  <w:sz w:val="20"/>
                                  <w:u w:val="single"/>
                                </w:rPr>
                                <w:t>Table of Contents</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174</w:t>
                      </w:r>
                    </w:p>
                    <w:p>
                      <w:pPr>
                        <w:pStyle w:val="TextBody"/>
                        <w:bidi w:val="0"/>
                        <w:spacing w:lineRule="auto" w:line="288" w:before="0" w:after="180"/>
                        <w:jc w:val="left"/>
                        <w:rPr/>
                      </w:pPr>
                      <w:hyperlink w:anchor="i8e13d1b6f3764394b0e424082d2ac79f_151">
                        <w:r>
                          <w:rPr>
                            <w:rStyle w:val="InternetLink"/>
                            <w:rFonts w:ascii="Times New Roman;serif" w:hAnsi="Times New Roman;serif"/>
                            <w:b w:val="false"/>
                            <w:color w:val="0000FF"/>
                            <w:sz w:val="20"/>
                            <w:u w:val="single"/>
                          </w:rPr>
                          <w:t>Table of Contents</w:t>
                        </w:r>
                      </w:hyperlink>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FIGURE TECHNOLOGY SOLUTIONS,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tables in thousands, except share and per share data, units, ratios or as otherwise noted)</w:t>
      </w:r>
    </w:p>
    <w:p>
      <w:pPr>
        <w:pStyle w:val="TextBody"/>
        <w:bidi w:val="0"/>
        <w:spacing w:before="0" w:after="180"/>
        <w:jc w:val="center"/>
        <w:rPr/>
      </w:pPr>
      <w:r>
        <w:rPr/>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Significant Valuation Inputs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used the following unobservable inputs that it considers significant to value the financial assets and liabilities carried at fair value and classified within Level 3 of the fair value hierarchy:</w:t>
      </w:r>
    </w:p>
    <w:tbl>
      <w:tblPr>
        <w:tblW w:w="10205" w:type="dxa"/>
        <w:jc w:val="left"/>
        <w:tblInd w:w="0" w:type="dxa"/>
        <w:tblLayout w:type="fixed"/>
        <w:tblCellMar>
          <w:top w:w="28" w:type="dxa"/>
          <w:left w:w="28" w:type="dxa"/>
          <w:bottom w:w="28" w:type="dxa"/>
          <w:right w:w="28" w:type="dxa"/>
        </w:tblCellMar>
      </w:tblPr>
      <w:tblGrid>
        <w:gridCol w:w="569"/>
        <w:gridCol w:w="501"/>
        <w:gridCol w:w="503"/>
        <w:gridCol w:w="196"/>
        <w:gridCol w:w="736"/>
        <w:gridCol w:w="109"/>
        <w:gridCol w:w="109"/>
        <w:gridCol w:w="109"/>
        <w:gridCol w:w="109"/>
        <w:gridCol w:w="435"/>
        <w:gridCol w:w="435"/>
        <w:gridCol w:w="436"/>
        <w:gridCol w:w="109"/>
        <w:gridCol w:w="109"/>
        <w:gridCol w:w="109"/>
        <w:gridCol w:w="399"/>
        <w:gridCol w:w="307"/>
        <w:gridCol w:w="307"/>
        <w:gridCol w:w="109"/>
        <w:gridCol w:w="109"/>
        <w:gridCol w:w="109"/>
        <w:gridCol w:w="362"/>
        <w:gridCol w:w="311"/>
        <w:gridCol w:w="293"/>
        <w:gridCol w:w="109"/>
        <w:gridCol w:w="109"/>
        <w:gridCol w:w="109"/>
        <w:gridCol w:w="450"/>
        <w:gridCol w:w="450"/>
        <w:gridCol w:w="451"/>
        <w:gridCol w:w="109"/>
        <w:gridCol w:w="109"/>
        <w:gridCol w:w="109"/>
        <w:gridCol w:w="384"/>
        <w:gridCol w:w="384"/>
        <w:gridCol w:w="552"/>
      </w:tblGrid>
      <w:tr>
        <w:trPr/>
        <w:tc>
          <w:tcPr>
            <w:tcW w:w="56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r>
      <w:tr>
        <w:trPr/>
        <w:tc>
          <w:tcPr>
            <w:tcW w:w="1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2"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Discount Rate </w:t>
            </w:r>
            <w:r>
              <w:rPr>
                <w:rFonts w:ascii="Times New Roman;serif" w:hAnsi="Times New Roman;serif"/>
                <w:b/>
                <w:color w:val="000000"/>
                <w:sz w:val="10"/>
              </w:rPr>
              <w:t>(A)</w:t>
            </w:r>
            <w:r>
              <w:rPr>
                <w:color w:val="000000"/>
              </w:rPr>
              <w:t xml:space="preserve"> </w:t>
            </w: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CPR </w:t>
            </w:r>
            <w:r>
              <w:rPr>
                <w:rFonts w:ascii="Times New Roman;serif" w:hAnsi="Times New Roman;serif"/>
                <w:b/>
                <w:color w:val="000000"/>
                <w:sz w:val="10"/>
              </w:rPr>
              <w:t>(B)</w:t>
            </w:r>
            <w:r>
              <w:rPr>
                <w:color w:val="000000"/>
              </w:rPr>
              <w:t xml:space="preserve"> </w:t>
            </w: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CDR </w:t>
            </w:r>
            <w:r>
              <w:rPr>
                <w:rFonts w:ascii="Times New Roman;serif" w:hAnsi="Times New Roman;serif"/>
                <w:b/>
                <w:color w:val="000000"/>
                <w:sz w:val="10"/>
              </w:rPr>
              <w:t>(C)</w:t>
            </w:r>
            <w:r>
              <w:rPr>
                <w:color w:val="000000"/>
              </w:rPr>
              <w:t xml:space="preserve"> </w:t>
            </w: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Servicing Rate </w:t>
            </w:r>
            <w:r>
              <w:rPr>
                <w:rFonts w:ascii="Times New Roman;serif" w:hAnsi="Times New Roman;serif"/>
                <w:b/>
                <w:color w:val="000000"/>
                <w:sz w:val="10"/>
              </w:rPr>
              <w:t>(D)</w:t>
            </w:r>
            <w:r>
              <w:rPr>
                <w:color w:val="000000"/>
              </w:rPr>
              <w:t xml:space="preserve"> </w:t>
            </w: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Loss Severity </w:t>
            </w:r>
            <w:r>
              <w:rPr>
                <w:rFonts w:ascii="Times New Roman;serif" w:hAnsi="Times New Roman;serif"/>
                <w:b/>
                <w:color w:val="000000"/>
                <w:sz w:val="10"/>
              </w:rPr>
              <w:t xml:space="preserve">(E) </w:t>
            </w:r>
            <w:r>
              <w:rPr>
                <w:rFonts w:ascii="Times New Roman;serif" w:hAnsi="Times New Roman;serif"/>
                <w:b/>
                <w:color w:val="000000"/>
                <w:sz w:val="16"/>
              </w:rPr>
              <w:t xml:space="preserve">(%) </w:t>
            </w:r>
          </w:p>
        </w:tc>
      </w:tr>
      <w:tr>
        <w:trPr/>
        <w:tc>
          <w:tcPr>
            <w:tcW w:w="15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Marketable securities: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Residual interest securities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40,166 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 xml:space="preserve">9.6% - 25.8% </w:t>
            </w:r>
          </w:p>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15.7%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 xml:space="preserve">16.2% - 20.8% </w:t>
            </w:r>
          </w:p>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18.8%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w:t>
            </w:r>
            <w:r>
              <w:rPr>
                <w:rFonts w:ascii="Times New Roman;serif" w:hAnsi="Times New Roman;serif"/>
                <w:b w:val="false"/>
                <w:color w:val="000000"/>
                <w:sz w:val="16"/>
              </w:rPr>
              <w:t xml:space="preserve">% - 2.4% </w:t>
            </w:r>
          </w:p>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r>
      <w:tr>
        <w:trPr/>
        <w:tc>
          <w:tcPr>
            <w:tcW w:w="1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Servicing assets: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HELOC loans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111,211 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 xml:space="preserve">13.0% - 13.0% </w:t>
            </w:r>
          </w:p>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13.0%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w:t>
            </w:r>
            <w:r>
              <w:rPr>
                <w:rFonts w:ascii="Times New Roman;serif" w:hAnsi="Times New Roman;serif"/>
                <w:b w:val="false"/>
                <w:color w:val="000000"/>
                <w:sz w:val="16"/>
              </w:rPr>
              <w:t xml:space="preserve">% - 33.1% </w:t>
            </w:r>
          </w:p>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13.3%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w:t>
            </w:r>
            <w:r>
              <w:rPr>
                <w:rFonts w:ascii="Times New Roman;serif" w:hAnsi="Times New Roman;serif"/>
                <w:b w:val="false"/>
                <w:color w:val="000000"/>
                <w:sz w:val="16"/>
              </w:rPr>
              <w:t xml:space="preserve">% - 4.8% </w:t>
            </w:r>
          </w:p>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 xml:space="preserve">n.a - n.a </w:t>
            </w:r>
          </w:p>
          <w:p>
            <w:pPr>
              <w:pStyle w:val="TableContents"/>
              <w:bidi w:val="0"/>
              <w:spacing w:lineRule="auto" w:line="240" w:before="0" w:after="0"/>
              <w:ind w:left="0" w:right="0" w:hanging="180"/>
              <w:jc w:val="center"/>
              <w:rPr>
                <w:rFonts w:ascii="Times New Roman;serif" w:hAnsi="Times New Roman;serif"/>
                <w:b w:val="false"/>
                <w:color w:val="000000"/>
                <w:sz w:val="16"/>
              </w:rPr>
            </w:pPr>
            <w:r>
              <w:rPr>
                <w:rFonts w:ascii="Times New Roman;serif" w:hAnsi="Times New Roman;serif"/>
                <w:b w:val="false"/>
                <w:color w:val="000000"/>
                <w:sz w:val="16"/>
              </w:rPr>
              <w:t>n.a</w:t>
            </w:r>
          </w:p>
        </w:tc>
      </w:tr>
      <w:tr>
        <w:trPr/>
        <w:tc>
          <w:tcPr>
            <w:tcW w:w="15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Mortgage loans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 xml:space="preserve">9.5% - 10.5% </w:t>
            </w:r>
          </w:p>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10.3%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 xml:space="preserve">3.5% - 8.2% </w:t>
            </w:r>
          </w:p>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w:t>
            </w:r>
            <w:r>
              <w:rPr>
                <w:rFonts w:ascii="Times New Roman;serif" w:hAnsi="Times New Roman;serif"/>
                <w:b w:val="false"/>
                <w:color w:val="000000"/>
                <w:sz w:val="16"/>
              </w:rPr>
              <w:t xml:space="preserve">% - 10.5% </w:t>
            </w:r>
          </w:p>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r>
      <w:tr>
        <w:trPr/>
        <w:tc>
          <w:tcPr>
            <w:tcW w:w="157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6"/>
              </w:rPr>
              <w:t>Total / Weighted average</w:t>
            </w:r>
            <w:r>
              <w:rPr>
                <w:rFonts w:ascii="Times New Roman;serif" w:hAnsi="Times New Roman;serif"/>
                <w:b w:val="false"/>
                <w:color w:val="000000"/>
                <w:sz w:val="10"/>
              </w:rPr>
              <w:t>(F)</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113,064 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Loans held for sale:</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6"/>
              </w:rPr>
              <w:t>HELOC loans</w:t>
            </w:r>
            <w:r>
              <w:rPr>
                <w:rFonts w:ascii="Times New Roman;serif" w:hAnsi="Times New Roman;serif"/>
                <w:b w:val="false"/>
                <w:color w:val="000000"/>
                <w:sz w:val="10"/>
              </w:rPr>
              <w:t>(G)</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320,566 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 xml:space="preserve">5.7% - 7.8% </w:t>
            </w:r>
          </w:p>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 xml:space="preserve">1.1% - 47.4% </w:t>
            </w:r>
          </w:p>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17.8%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w:t>
            </w:r>
            <w:r>
              <w:rPr>
                <w:rFonts w:ascii="Times New Roman;serif" w:hAnsi="Times New Roman;serif"/>
                <w:b w:val="false"/>
                <w:color w:val="000000"/>
                <w:sz w:val="16"/>
              </w:rPr>
              <w:t xml:space="preserve">% - 94.0% </w:t>
            </w:r>
          </w:p>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w:t>
            </w:r>
            <w:r>
              <w:rPr>
                <w:rFonts w:ascii="Times New Roman;serif" w:hAnsi="Times New Roman;serif"/>
                <w:b w:val="false"/>
                <w:color w:val="000000"/>
                <w:sz w:val="16"/>
              </w:rPr>
              <w:t xml:space="preserve">% - 99.1% </w:t>
            </w:r>
          </w:p>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25.4%</w:t>
            </w:r>
          </w:p>
        </w:tc>
      </w:tr>
      <w:tr>
        <w:trPr/>
        <w:tc>
          <w:tcPr>
            <w:tcW w:w="157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6"/>
              </w:rPr>
              <w:t>Personal loans</w:t>
            </w:r>
            <w:r>
              <w:rPr>
                <w:rFonts w:ascii="Times New Roman;serif" w:hAnsi="Times New Roman;serif"/>
                <w:b w:val="false"/>
                <w:color w:val="000000"/>
                <w:sz w:val="10"/>
              </w:rPr>
              <w:t>(H)</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 xml:space="preserve">8.9% - 11.5% </w:t>
            </w:r>
          </w:p>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w:t>
            </w:r>
            <w:r>
              <w:rPr>
                <w:rFonts w:ascii="Times New Roman;serif" w:hAnsi="Times New Roman;serif"/>
                <w:b w:val="false"/>
                <w:color w:val="000000"/>
                <w:sz w:val="16"/>
              </w:rPr>
              <w:t xml:space="preserve">% - —% </w:t>
            </w:r>
          </w:p>
          <w:p>
            <w:pPr>
              <w:pStyle w:val="TableContents"/>
              <w:bidi w:val="0"/>
              <w:spacing w:lineRule="auto" w:line="240" w:before="0" w:after="0"/>
              <w:jc w:val="center"/>
              <w:rPr>
                <w:color w:val="000000"/>
              </w:rPr>
            </w:pPr>
            <w:r>
              <w:rPr>
                <w:color w:val="000000"/>
              </w:rPr>
              <w:t>—</w:t>
            </w: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w:t>
            </w:r>
            <w:r>
              <w:rPr>
                <w:rFonts w:ascii="Times New Roman;serif" w:hAnsi="Times New Roman;serif"/>
                <w:b w:val="false"/>
                <w:color w:val="000000"/>
                <w:sz w:val="16"/>
              </w:rPr>
              <w:t xml:space="preserve">% - —% </w:t>
            </w:r>
          </w:p>
          <w:p>
            <w:pPr>
              <w:pStyle w:val="TableContents"/>
              <w:bidi w:val="0"/>
              <w:spacing w:lineRule="auto" w:line="240" w:before="0" w:after="0"/>
              <w:jc w:val="center"/>
              <w:rPr>
                <w:color w:val="000000"/>
              </w:rPr>
            </w:pPr>
            <w:r>
              <w:rPr>
                <w:color w:val="000000"/>
              </w:rPr>
              <w:t>—</w:t>
            </w: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w:t>
            </w:r>
            <w:r>
              <w:rPr>
                <w:rFonts w:ascii="Times New Roman;serif" w:hAnsi="Times New Roman;serif"/>
                <w:b w:val="false"/>
                <w:color w:val="000000"/>
                <w:sz w:val="16"/>
              </w:rPr>
              <w:t xml:space="preserve">% - —% </w:t>
            </w:r>
          </w:p>
          <w:p>
            <w:pPr>
              <w:pStyle w:val="TableContents"/>
              <w:bidi w:val="0"/>
              <w:spacing w:lineRule="auto" w:line="240" w:before="0" w:after="0"/>
              <w:jc w:val="center"/>
              <w:rPr>
                <w:color w:val="000000"/>
              </w:rPr>
            </w:pPr>
            <w:r>
              <w:rPr>
                <w:color w:val="000000"/>
              </w:rPr>
              <w:t>—</w:t>
            </w:r>
            <w:r>
              <w:rPr>
                <w:rFonts w:ascii="Times New Roman;serif" w:hAnsi="Times New Roman;serif"/>
                <w:b w:val="false"/>
                <w:color w:val="000000"/>
                <w:sz w:val="16"/>
              </w:rPr>
              <w:t>%</w:t>
            </w:r>
          </w:p>
        </w:tc>
      </w:tr>
      <w:tr>
        <w:trPr/>
        <w:tc>
          <w:tcPr>
            <w:tcW w:w="157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6"/>
              </w:rPr>
              <w:t>Other</w:t>
            </w:r>
            <w:r>
              <w:rPr>
                <w:rFonts w:ascii="Times New Roman;serif" w:hAnsi="Times New Roman;serif"/>
                <w:b w:val="false"/>
                <w:color w:val="000000"/>
                <w:sz w:val="10"/>
              </w:rPr>
              <w:t>(I)</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 xml:space="preserve">6.2% - 12.0% </w:t>
            </w:r>
          </w:p>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4.6% - 73.2%</w:t>
            </w:r>
          </w:p>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26.1%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 xml:space="preserve">1.0% - 62.8% </w:t>
            </w:r>
          </w:p>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 xml:space="preserve">88.0% - 92.0% </w:t>
            </w:r>
          </w:p>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90.0%</w:t>
            </w:r>
          </w:p>
        </w:tc>
      </w:tr>
      <w:tr>
        <w:trPr/>
        <w:tc>
          <w:tcPr>
            <w:tcW w:w="157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6"/>
              </w:rPr>
              <w:t>Total / Weighted average</w:t>
            </w:r>
            <w:r>
              <w:rPr>
                <w:rFonts w:ascii="Times New Roman;serif" w:hAnsi="Times New Roman;serif"/>
                <w:b w:val="false"/>
                <w:color w:val="000000"/>
                <w:sz w:val="10"/>
              </w:rPr>
              <w:t>(F)</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404,337 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
        <w:gridCol w:w="516"/>
        <w:gridCol w:w="519"/>
        <w:gridCol w:w="196"/>
        <w:gridCol w:w="736"/>
        <w:gridCol w:w="109"/>
        <w:gridCol w:w="109"/>
        <w:gridCol w:w="109"/>
        <w:gridCol w:w="109"/>
        <w:gridCol w:w="438"/>
        <w:gridCol w:w="438"/>
        <w:gridCol w:w="440"/>
        <w:gridCol w:w="109"/>
        <w:gridCol w:w="109"/>
        <w:gridCol w:w="109"/>
        <w:gridCol w:w="334"/>
        <w:gridCol w:w="310"/>
        <w:gridCol w:w="311"/>
        <w:gridCol w:w="109"/>
        <w:gridCol w:w="109"/>
        <w:gridCol w:w="109"/>
        <w:gridCol w:w="331"/>
        <w:gridCol w:w="291"/>
        <w:gridCol w:w="293"/>
        <w:gridCol w:w="109"/>
        <w:gridCol w:w="109"/>
        <w:gridCol w:w="109"/>
        <w:gridCol w:w="453"/>
        <w:gridCol w:w="453"/>
        <w:gridCol w:w="455"/>
        <w:gridCol w:w="109"/>
        <w:gridCol w:w="109"/>
        <w:gridCol w:w="109"/>
        <w:gridCol w:w="396"/>
        <w:gridCol w:w="396"/>
        <w:gridCol w:w="568"/>
      </w:tblGrid>
      <w:tr>
        <w:trPr/>
        <w:tc>
          <w:tcPr>
            <w:tcW w:w="587"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r>
      <w:tr>
        <w:trPr/>
        <w:tc>
          <w:tcPr>
            <w:tcW w:w="1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3"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1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Discount Rate</w:t>
            </w:r>
            <w:r>
              <w:rPr>
                <w:rFonts w:ascii="Times New Roman;serif" w:hAnsi="Times New Roman;serif"/>
                <w:b/>
                <w:color w:val="000000"/>
                <w:sz w:val="10"/>
              </w:rPr>
              <w:t>(A)</w:t>
            </w:r>
            <w:r>
              <w:rPr>
                <w:color w:val="000000"/>
              </w:rPr>
              <w:t xml:space="preserve"> </w:t>
            </w: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CPR</w:t>
            </w:r>
            <w:r>
              <w:rPr>
                <w:rFonts w:ascii="Times New Roman;serif" w:hAnsi="Times New Roman;serif"/>
                <w:b/>
                <w:color w:val="000000"/>
                <w:sz w:val="10"/>
              </w:rPr>
              <w:t>(B)</w:t>
            </w:r>
            <w:r>
              <w:rPr>
                <w:color w:val="000000"/>
              </w:rPr>
              <w:t xml:space="preserve"> </w:t>
            </w: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CDR</w:t>
            </w:r>
            <w:r>
              <w:rPr>
                <w:rFonts w:ascii="Times New Roman;serif" w:hAnsi="Times New Roman;serif"/>
                <w:b/>
                <w:color w:val="000000"/>
                <w:sz w:val="10"/>
              </w:rPr>
              <w:t>(C)</w:t>
            </w:r>
            <w:r>
              <w:rPr>
                <w:color w:val="000000"/>
              </w:rPr>
              <w:t xml:space="preserve"> </w:t>
            </w: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Servicing Rate</w:t>
            </w:r>
            <w:r>
              <w:rPr>
                <w:rFonts w:ascii="Times New Roman;serif" w:hAnsi="Times New Roman;serif"/>
                <w:b/>
                <w:color w:val="000000"/>
                <w:sz w:val="10"/>
              </w:rPr>
              <w:t>(D)</w:t>
            </w:r>
            <w:r>
              <w:rPr>
                <w:color w:val="000000"/>
              </w:rPr>
              <w:t xml:space="preserve"> </w:t>
            </w: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Loss Severity </w:t>
            </w:r>
            <w:r>
              <w:rPr>
                <w:rFonts w:ascii="Times New Roman;serif" w:hAnsi="Times New Roman;serif"/>
                <w:b/>
                <w:color w:val="000000"/>
                <w:sz w:val="10"/>
              </w:rPr>
              <w:t xml:space="preserve">(E) </w:t>
            </w:r>
            <w:r>
              <w:rPr>
                <w:rFonts w:ascii="Times New Roman;serif" w:hAnsi="Times New Roman;serif"/>
                <w:b/>
                <w:color w:val="000000"/>
                <w:sz w:val="16"/>
              </w:rPr>
              <w:t xml:space="preserve">(%) </w:t>
            </w:r>
          </w:p>
        </w:tc>
      </w:tr>
      <w:tr>
        <w:trPr/>
        <w:tc>
          <w:tcPr>
            <w:tcW w:w="16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Marketable securities: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6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Residual interest securities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34,506 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14.5% - 24.0%</w:t>
            </w:r>
          </w:p>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19.7%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15.2% - 20.1%</w:t>
            </w:r>
          </w:p>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17.7%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1.5% - 1.7%</w:t>
            </w:r>
          </w:p>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r>
      <w:tr>
        <w:trPr/>
        <w:tc>
          <w:tcPr>
            <w:tcW w:w="16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Servicing assets: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6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HELOC loans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86,465 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13.0% - 13.0%</w:t>
            </w:r>
          </w:p>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13.0%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1.0% - 33.0%</w:t>
            </w:r>
          </w:p>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14.4%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w:t>
            </w:r>
            <w:r>
              <w:rPr>
                <w:rFonts w:ascii="Times New Roman;serif" w:hAnsi="Times New Roman;serif"/>
                <w:b w:val="false"/>
                <w:color w:val="000000"/>
                <w:sz w:val="16"/>
              </w:rPr>
              <w:t>% - 4.4%</w:t>
            </w:r>
          </w:p>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16"/>
              </w:rPr>
            </w:pPr>
            <w:r>
              <w:rPr>
                <w:rFonts w:ascii="Times New Roman;serif" w:hAnsi="Times New Roman;serif"/>
                <w:b w:val="false"/>
                <w:color w:val="000000"/>
                <w:sz w:val="16"/>
              </w:rPr>
              <w:t>n.a</w:t>
            </w:r>
          </w:p>
        </w:tc>
      </w:tr>
      <w:tr>
        <w:trPr/>
        <w:tc>
          <w:tcPr>
            <w:tcW w:w="16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Mortgage loans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10.0% - 11.0%</w:t>
            </w:r>
          </w:p>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10.8%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3.9% - 8.2%</w:t>
            </w:r>
          </w:p>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w:t>
            </w:r>
            <w:r>
              <w:rPr>
                <w:rFonts w:ascii="Times New Roman;serif" w:hAnsi="Times New Roman;serif"/>
                <w:b w:val="false"/>
                <w:color w:val="000000"/>
                <w:sz w:val="16"/>
              </w:rPr>
              <w:t>% - 1.0%</w:t>
            </w:r>
          </w:p>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r>
      <w:tr>
        <w:trPr/>
        <w:tc>
          <w:tcPr>
            <w:tcW w:w="162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6"/>
              </w:rPr>
              <w:t>Total / Weighted average</w:t>
            </w:r>
            <w:r>
              <w:rPr>
                <w:rFonts w:ascii="Times New Roman;serif" w:hAnsi="Times New Roman;serif"/>
                <w:b w:val="false"/>
                <w:color w:val="000000"/>
                <w:sz w:val="10"/>
              </w:rPr>
              <w:t>(F)</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88,497 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6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Loans held for sale:</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6"/>
              </w:rPr>
              <w:t>HELOC loans</w:t>
            </w:r>
            <w:r>
              <w:rPr>
                <w:rFonts w:ascii="Times New Roman;serif" w:hAnsi="Times New Roman;serif"/>
                <w:b w:val="false"/>
                <w:color w:val="000000"/>
                <w:sz w:val="10"/>
              </w:rPr>
              <w:t>(G)</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366,154 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6.4% - 10.1%</w:t>
            </w:r>
          </w:p>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1.3% - 32.4%</w:t>
            </w:r>
          </w:p>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13.6%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1.5% - 1.7%</w:t>
            </w:r>
          </w:p>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16.6% - 44.2%</w:t>
            </w:r>
          </w:p>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32.4%</w:t>
            </w:r>
          </w:p>
        </w:tc>
      </w:tr>
      <w:tr>
        <w:trPr/>
        <w:tc>
          <w:tcPr>
            <w:tcW w:w="162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0" w:type="dxa"/>
            <w:gridSpan w:val="3"/>
            <w:tcBorders/>
            <w:vAlign w:val="center"/>
          </w:tcPr>
          <w:p>
            <w:pPr>
              <w:pStyle w:val="TableContents"/>
              <w:bidi w:val="0"/>
              <w:spacing w:before="0" w:after="283"/>
              <w:jc w:val="left"/>
              <w:rPr>
                <w:sz w:val="4"/>
                <w:szCs w:val="4"/>
              </w:rPr>
            </w:pPr>
            <w:r>
              <w:rPr>
                <w:sz w:val="4"/>
                <w:szCs w:val="4"/>
              </w:rPr>
            </w:r>
          </w:p>
        </w:tc>
      </w:tr>
      <w:tr>
        <w:trPr/>
        <w:tc>
          <w:tcPr>
            <w:tcW w:w="162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6"/>
              </w:rPr>
              <w:t>Other</w:t>
            </w:r>
            <w:r>
              <w:rPr>
                <w:rFonts w:ascii="Times New Roman;serif" w:hAnsi="Times New Roman;serif"/>
                <w:b w:val="false"/>
                <w:color w:val="000000"/>
                <w:sz w:val="10"/>
              </w:rPr>
              <w:t>(I)</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5.1% - 8.7%</w:t>
            </w:r>
          </w:p>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17.9% - 99.7%</w:t>
            </w:r>
          </w:p>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25.6%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0.4% - 10.2%</w:t>
            </w:r>
          </w:p>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88.0% - 92.0%</w:t>
            </w:r>
          </w:p>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90.0%</w:t>
            </w:r>
          </w:p>
        </w:tc>
      </w:tr>
      <w:tr>
        <w:trPr/>
        <w:tc>
          <w:tcPr>
            <w:tcW w:w="162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6"/>
              </w:rPr>
              <w:t>Total / Weighted average</w:t>
            </w:r>
            <w:r>
              <w:rPr>
                <w:rFonts w:ascii="Times New Roman;serif" w:hAnsi="Times New Roman;serif"/>
                <w:b w:val="false"/>
                <w:color w:val="000000"/>
                <w:sz w:val="10"/>
              </w:rPr>
              <w:t>(F)</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369,983 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180"/>
        <w:jc w:val="both"/>
        <w:rPr/>
      </w:pPr>
      <w:r>
        <w:rPr/>
      </w:r>
    </w:p>
    <w:p>
      <w:pPr>
        <w:pStyle w:val="TextBody"/>
        <w:bidi w:val="0"/>
        <w:spacing w:lineRule="auto" w:line="288" w:before="0" w:after="0"/>
        <w:ind w:left="0" w:right="0" w:hanging="180"/>
        <w:jc w:val="both"/>
        <w:rPr/>
      </w:pPr>
      <w:r>
        <w:rPr>
          <w:rFonts w:ascii="Times New Roman;serif" w:hAnsi="Times New Roman;serif"/>
          <w:b w:val="false"/>
          <w:color w:val="000000"/>
          <w:sz w:val="10"/>
        </w:rPr>
        <w:t>(A)</w:t>
      </w:r>
      <w:r>
        <w:rPr>
          <w:color w:val="000000"/>
        </w:rPr>
        <w:t>    </w:t>
      </w:r>
      <w:r>
        <w:rPr>
          <w:rFonts w:ascii="Times New Roman;serif" w:hAnsi="Times New Roman;serif"/>
          <w:b w:val="false"/>
          <w:color w:val="000000"/>
          <w:sz w:val="16"/>
        </w:rPr>
        <w:t>Significant increases (decreases) in the discount rate, in isolation, would result in a significantly lower (higher) fair value measurement.</w:t>
      </w:r>
    </w:p>
    <w:p>
      <w:pPr>
        <w:pStyle w:val="TextBody"/>
        <w:bidi w:val="0"/>
        <w:spacing w:lineRule="auto" w:line="288" w:before="0" w:after="0"/>
        <w:ind w:left="0" w:right="0" w:hanging="180"/>
        <w:jc w:val="both"/>
        <w:rPr/>
      </w:pPr>
      <w:r>
        <w:rPr>
          <w:rFonts w:ascii="Times New Roman;serif" w:hAnsi="Times New Roman;serif"/>
          <w:b w:val="false"/>
          <w:color w:val="000000"/>
          <w:sz w:val="10"/>
        </w:rPr>
        <w:t>(B)</w:t>
      </w:r>
      <w:r>
        <w:rPr>
          <w:color w:val="000000"/>
        </w:rPr>
        <w:t>    </w:t>
      </w:r>
      <w:r>
        <w:rPr>
          <w:rFonts w:ascii="Times New Roman;serif" w:hAnsi="Times New Roman;serif"/>
          <w:b w:val="false"/>
          <w:color w:val="000000"/>
          <w:sz w:val="16"/>
        </w:rPr>
        <w:t>Significant increases (decreases) in the CPR, in isolation, would result in a significantly lower (higher) fair value measurement.</w:t>
      </w:r>
    </w:p>
    <w:p>
      <w:pPr>
        <w:pStyle w:val="TextBody"/>
        <w:bidi w:val="0"/>
        <w:spacing w:lineRule="auto" w:line="288" w:before="0" w:after="0"/>
        <w:ind w:left="0" w:right="0" w:hanging="180"/>
        <w:jc w:val="both"/>
        <w:rPr/>
      </w:pPr>
      <w:r>
        <w:rPr>
          <w:rFonts w:ascii="Times New Roman;serif" w:hAnsi="Times New Roman;serif"/>
          <w:b w:val="false"/>
          <w:color w:val="000000"/>
          <w:sz w:val="10"/>
        </w:rPr>
        <w:t>(C)    </w:t>
      </w:r>
      <w:r>
        <w:rPr>
          <w:rFonts w:ascii="Times New Roman;serif" w:hAnsi="Times New Roman;serif"/>
          <w:b w:val="false"/>
          <w:color w:val="000000"/>
          <w:sz w:val="16"/>
        </w:rPr>
        <w:t>Significant increases (decreases) in the CDR, in isolation, would result in a significantly lower (higher) fair value measurement.</w:t>
      </w:r>
    </w:p>
    <w:p>
      <w:pPr>
        <w:pStyle w:val="TextBody"/>
        <w:bidi w:val="0"/>
        <w:spacing w:lineRule="auto" w:line="288" w:before="0" w:after="0"/>
        <w:ind w:left="0" w:right="0" w:hanging="180"/>
        <w:jc w:val="both"/>
        <w:rPr/>
      </w:pPr>
      <w:r>
        <w:rPr>
          <w:rFonts w:ascii="Times New Roman;serif" w:hAnsi="Times New Roman;serif"/>
          <w:b w:val="false"/>
          <w:color w:val="000000"/>
          <w:sz w:val="10"/>
        </w:rPr>
        <w:t>(D)</w:t>
      </w:r>
      <w:r>
        <w:rPr>
          <w:color w:val="000000"/>
        </w:rPr>
        <w:t>    </w:t>
      </w:r>
      <w:r>
        <w:rPr>
          <w:rFonts w:ascii="Times New Roman;serif" w:hAnsi="Times New Roman;serif"/>
          <w:b w:val="false"/>
          <w:color w:val="000000"/>
          <w:sz w:val="16"/>
        </w:rPr>
        <w:t>Significant increases (decreases) in the servicing rate in excess of servicing costs, in isolation, would result in a significantly higher (lower) fair value measurement. Values represent the weighted average total mortgage servicing amount, net of subservicing costs.</w:t>
      </w:r>
    </w:p>
    <w:p>
      <w:pPr>
        <w:pStyle w:val="TextBody"/>
        <w:bidi w:val="0"/>
        <w:spacing w:lineRule="auto" w:line="288" w:before="0" w:after="0"/>
        <w:ind w:left="0" w:right="0" w:hanging="180"/>
        <w:jc w:val="both"/>
        <w:rPr/>
      </w:pPr>
      <w:r>
        <w:rPr>
          <w:rFonts w:ascii="Times New Roman;serif" w:hAnsi="Times New Roman;serif"/>
          <w:b w:val="false"/>
          <w:color w:val="000000"/>
          <w:sz w:val="10"/>
        </w:rPr>
        <w:t>(E)</w:t>
      </w:r>
      <w:r>
        <w:rPr>
          <w:color w:val="000000"/>
        </w:rPr>
        <w:t>    </w:t>
      </w:r>
      <w:r>
        <w:rPr>
          <w:rFonts w:ascii="Times New Roman;serif" w:hAnsi="Times New Roman;serif"/>
          <w:b w:val="false"/>
          <w:color w:val="000000"/>
          <w:sz w:val="16"/>
        </w:rPr>
        <w:t>Significant increases (decreases) in the severity, in isolation, would result in a significantly lower (higher) fair value measurement.</w:t>
      </w:r>
    </w:p>
    <w:p>
      <w:pPr>
        <w:pStyle w:val="TextBody"/>
        <w:bidi w:val="0"/>
        <w:spacing w:lineRule="auto" w:line="288" w:before="0" w:after="0"/>
        <w:ind w:left="0" w:right="0" w:hanging="180"/>
        <w:jc w:val="both"/>
        <w:rPr/>
      </w:pPr>
      <w:r>
        <w:rPr>
          <w:rFonts w:ascii="Times New Roman;serif" w:hAnsi="Times New Roman;serif"/>
          <w:b w:val="false"/>
          <w:color w:val="000000"/>
          <w:sz w:val="10"/>
        </w:rPr>
        <w:t>(F)</w:t>
      </w:r>
      <w:r>
        <w:rPr>
          <w:color w:val="000000"/>
        </w:rPr>
        <w:t>    </w:t>
      </w:r>
      <w:r>
        <w:rPr>
          <w:rFonts w:ascii="Times New Roman;serif" w:hAnsi="Times New Roman;serif"/>
          <w:b w:val="false"/>
          <w:color w:val="000000"/>
          <w:sz w:val="16"/>
        </w:rPr>
        <w:t>Unobservable inputs were weighted by respective fair value of each class.</w:t>
      </w:r>
    </w:p>
    <w:p>
      <w:pPr>
        <w:pStyle w:val="TextBody"/>
        <w:bidi w:val="0"/>
        <w:spacing w:lineRule="auto" w:line="288" w:before="0" w:after="0"/>
        <w:ind w:left="0" w:right="0" w:hanging="180"/>
        <w:jc w:val="both"/>
        <w:rPr/>
      </w:pPr>
      <w:r>
        <w:rPr>
          <w:rFonts w:ascii="Times New Roman;serif" w:hAnsi="Times New Roman;serif"/>
          <w:b w:val="false"/>
          <w:color w:val="000000"/>
          <w:sz w:val="10"/>
        </w:rPr>
        <w:t>(G)</w:t>
      </w:r>
      <w:r>
        <w:rPr>
          <w:color w:val="000000"/>
        </w:rPr>
        <w:t>    </w:t>
      </w:r>
      <w:r>
        <w:rPr>
          <w:rFonts w:ascii="Times New Roman;serif" w:hAnsi="Times New Roman;serif"/>
          <w:b w:val="false"/>
          <w:color w:val="000000"/>
          <w:sz w:val="16"/>
        </w:rPr>
        <w:t xml:space="preserve">HELOC loans are measured at estimated fair value using a discounted cash flow valuation methodology, more specifically a residential mortgage cash flow model. </w:t>
      </w:r>
    </w:p>
    <w:p>
      <w:pPr>
        <w:pStyle w:val="TextBody"/>
        <w:bidi w:val="0"/>
        <w:spacing w:lineRule="auto" w:line="288" w:before="0" w:after="0"/>
        <w:ind w:left="0" w:right="0" w:hanging="180"/>
        <w:jc w:val="both"/>
        <w:rPr/>
      </w:pPr>
      <w:r>
        <w:rPr>
          <w:rFonts w:ascii="Times New Roman;serif" w:hAnsi="Times New Roman;serif"/>
          <w:b w:val="false"/>
          <w:color w:val="000000"/>
          <w:sz w:val="10"/>
        </w:rPr>
        <w:t>(H)</w:t>
      </w:r>
      <w:r>
        <w:rPr>
          <w:color w:val="000000"/>
        </w:rPr>
        <w:t>    </w:t>
      </w:r>
      <w:r>
        <w:rPr>
          <w:rFonts w:ascii="Times New Roman;serif" w:hAnsi="Times New Roman;serif"/>
          <w:b w:val="false"/>
          <w:color w:val="000000"/>
          <w:sz w:val="16"/>
        </w:rPr>
        <w:t>Personal loans are measured at estimated fair value using a discounted cash flow valuation methodology, more specifically a loan cash flow model.</w:t>
      </w:r>
    </w:p>
    <w:p>
      <w:pPr>
        <w:pStyle w:val="TextBody"/>
        <w:bidi w:val="0"/>
        <w:spacing w:lineRule="auto" w:line="288" w:before="0" w:after="0"/>
        <w:ind w:left="0" w:right="0" w:hanging="180"/>
        <w:jc w:val="both"/>
        <w:rPr/>
      </w:pPr>
      <w:r>
        <w:rPr>
          <w:rFonts w:ascii="Times New Roman;serif" w:hAnsi="Times New Roman;serif"/>
          <w:b w:val="false"/>
          <w:color w:val="000000"/>
          <w:sz w:val="10"/>
        </w:rPr>
        <w:t>(I)</w:t>
      </w:r>
      <w:r>
        <w:rPr>
          <w:color w:val="000000"/>
        </w:rPr>
        <w:t>    </w:t>
      </w:r>
      <w:r>
        <w:rPr>
          <w:rFonts w:ascii="Times New Roman;serif" w:hAnsi="Times New Roman;serif"/>
          <w:b w:val="false"/>
          <w:color w:val="000000"/>
          <w:sz w:val="16"/>
        </w:rPr>
        <w:t xml:space="preserve">Personal unsecured loans included in “Other” are measured at estimated fair value using a discounted cash flow valuation methodology, more specifically a loan cash flow model. The Company uses an estimated recovery from collections and recent sales to fair value personal loans that are 30 days past due; the fair value of such loans at December 31, 2025 and 2024 were not material.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293370"/>
                <wp:effectExtent l="0" t="0" r="0" b="0"/>
                <wp:wrapNone/>
                <wp:docPr id="177" name="Frame175"/>
                <a:graphic xmlns:a="http://schemas.openxmlformats.org/drawingml/2006/main">
                  <a:graphicData uri="http://schemas.microsoft.com/office/word/2010/wordprocessingShape">
                    <wps:wsp>
                      <wps:cNvSpPr txBox="1"/>
                      <wps:spPr>
                        <a:xfrm>
                          <a:off x="0" y="0"/>
                          <a:ext cx="6480175" cy="293370"/>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175</w:t>
                            </w:r>
                          </w:p>
                          <w:p>
                            <w:pPr>
                              <w:pStyle w:val="TextBody"/>
                              <w:bidi w:val="0"/>
                              <w:spacing w:lineRule="auto" w:line="288" w:before="0" w:after="180"/>
                              <w:jc w:val="left"/>
                              <w:rPr/>
                            </w:pPr>
                            <w:hyperlink w:anchor="i8e13d1b6f3764394b0e424082d2ac79f_151">
                              <w:r>
                                <w:rPr>
                                  <w:rStyle w:val="InternetLink"/>
                                  <w:rFonts w:ascii="Times New Roman;serif" w:hAnsi="Times New Roman;serif"/>
                                  <w:b w:val="false"/>
                                  <w:color w:val="0000FF"/>
                                  <w:sz w:val="20"/>
                                  <w:u w:val="single"/>
                                </w:rPr>
                                <w:t>Table of Contents</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175</w:t>
                      </w:r>
                    </w:p>
                    <w:p>
                      <w:pPr>
                        <w:pStyle w:val="TextBody"/>
                        <w:bidi w:val="0"/>
                        <w:spacing w:lineRule="auto" w:line="288" w:before="0" w:after="180"/>
                        <w:jc w:val="left"/>
                        <w:rPr/>
                      </w:pPr>
                      <w:hyperlink w:anchor="i8e13d1b6f3764394b0e424082d2ac79f_151">
                        <w:r>
                          <w:rPr>
                            <w:rStyle w:val="InternetLink"/>
                            <w:rFonts w:ascii="Times New Roman;serif" w:hAnsi="Times New Roman;serif"/>
                            <w:b w:val="false"/>
                            <w:color w:val="0000FF"/>
                            <w:sz w:val="20"/>
                            <w:u w:val="single"/>
                          </w:rPr>
                          <w:t>Table of Contents</w:t>
                        </w:r>
                      </w:hyperlink>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FIGURE TECHNOLOGY SOLUTIONS,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tables in thousands, except share and per share data, units, ratios or as otherwise noted)</w:t>
      </w:r>
    </w:p>
    <w:p>
      <w:pPr>
        <w:pStyle w:val="TextBody"/>
        <w:bidi w:val="0"/>
        <w:spacing w:before="0" w:after="180"/>
        <w:jc w:val="center"/>
        <w:rPr/>
      </w:pPr>
      <w:r>
        <w:rPr/>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Significant Valuation Input Sensitivity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tables summarize the estimated change in fair value of assets carried at fair value and classified within Level 3 of the fair value hierarchy for the unobservable inputs in “—Significant Valuation Inputs” at December 31, 2025. Each of the following sensitivity analyses is hypothetical and is provided for illustrative purposes only. There are certain limitations inherent in the sensitivity analyses presented. In particular, the results are calculated by stressing a particular economic assumption independent of changes in any other assumption; in practice, changes in one factor may result in changes in another, which might counteract or amplify the sensitivities. Also, changes in the fair value based on the following variations in an assumption generally may not be extrapolated because the relationship of the change in the assumption to the change in fair value may not be linear.</w:t>
      </w:r>
    </w:p>
    <w:tbl>
      <w:tblPr>
        <w:tblW w:w="9484" w:type="dxa"/>
        <w:jc w:val="left"/>
        <w:tblInd w:w="0" w:type="dxa"/>
        <w:tblLayout w:type="fixed"/>
        <w:tblCellMar>
          <w:top w:w="28" w:type="dxa"/>
          <w:left w:w="28" w:type="dxa"/>
          <w:bottom w:w="28" w:type="dxa"/>
          <w:right w:w="28" w:type="dxa"/>
        </w:tblCellMar>
      </w:tblPr>
      <w:tblGrid>
        <w:gridCol w:w="694"/>
        <w:gridCol w:w="611"/>
        <w:gridCol w:w="615"/>
        <w:gridCol w:w="196"/>
        <w:gridCol w:w="556"/>
        <w:gridCol w:w="109"/>
        <w:gridCol w:w="269"/>
        <w:gridCol w:w="271"/>
        <w:gridCol w:w="241"/>
        <w:gridCol w:w="109"/>
        <w:gridCol w:w="109"/>
        <w:gridCol w:w="109"/>
        <w:gridCol w:w="196"/>
        <w:gridCol w:w="556"/>
        <w:gridCol w:w="109"/>
        <w:gridCol w:w="224"/>
        <w:gridCol w:w="226"/>
        <w:gridCol w:w="241"/>
        <w:gridCol w:w="109"/>
        <w:gridCol w:w="109"/>
        <w:gridCol w:w="109"/>
        <w:gridCol w:w="196"/>
        <w:gridCol w:w="631"/>
        <w:gridCol w:w="109"/>
        <w:gridCol w:w="224"/>
        <w:gridCol w:w="226"/>
        <w:gridCol w:w="241"/>
        <w:gridCol w:w="109"/>
        <w:gridCol w:w="109"/>
        <w:gridCol w:w="109"/>
        <w:gridCol w:w="196"/>
        <w:gridCol w:w="631"/>
        <w:gridCol w:w="109"/>
        <w:gridCol w:w="268"/>
        <w:gridCol w:w="272"/>
        <w:gridCol w:w="286"/>
      </w:tblGrid>
      <w:tr>
        <w:trPr/>
        <w:tc>
          <w:tcPr>
            <w:tcW w:w="694"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w:t>
            </w:r>
          </w:p>
        </w:tc>
      </w:tr>
      <w:tr>
        <w:trPr/>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Discount rate:</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Marketable securities: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Residual interest securities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Servicing assets: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HELOC loans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w:t>
            </w:r>
          </w:p>
        </w:tc>
        <w:tc>
          <w:tcPr>
            <w:tcW w:w="28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Mortgage loans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Loans held for sale:</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HELOC loans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(30,126)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Personal loans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w:t>
            </w:r>
          </w:p>
        </w:tc>
      </w:tr>
      <w:tr>
        <w:trPr/>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CPR:</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Marketable securities: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Residual interest securities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Servicing assets: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HELOC loans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w:t>
            </w:r>
          </w:p>
        </w:tc>
        <w:tc>
          <w:tcPr>
            <w:tcW w:w="28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Mortgage loans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Loans held for sale:</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HELOC loans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Personal loans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CDR:</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Marketable securities: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Residual interest securities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Servicing assets: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HELOC loans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Loans held for sale:</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HELOC loans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w:t>
            </w:r>
          </w:p>
        </w:tc>
        <w:tc>
          <w:tcPr>
            <w:tcW w:w="28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Personal loans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Servicing rate:</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Servicing Assets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HELOC loans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ind w:left="0" w:right="0" w:hanging="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293370"/>
                <wp:effectExtent l="0" t="0" r="0" b="0"/>
                <wp:wrapNone/>
                <wp:docPr id="178" name="Frame176"/>
                <a:graphic xmlns:a="http://schemas.openxmlformats.org/drawingml/2006/main">
                  <a:graphicData uri="http://schemas.microsoft.com/office/word/2010/wordprocessingShape">
                    <wps:wsp>
                      <wps:cNvSpPr txBox="1"/>
                      <wps:spPr>
                        <a:xfrm>
                          <a:off x="0" y="0"/>
                          <a:ext cx="6480175" cy="293370"/>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176</w:t>
                            </w:r>
                          </w:p>
                          <w:p>
                            <w:pPr>
                              <w:pStyle w:val="TextBody"/>
                              <w:bidi w:val="0"/>
                              <w:spacing w:lineRule="auto" w:line="288" w:before="0" w:after="180"/>
                              <w:jc w:val="left"/>
                              <w:rPr/>
                            </w:pPr>
                            <w:hyperlink w:anchor="i8e13d1b6f3764394b0e424082d2ac79f_151">
                              <w:r>
                                <w:rPr>
                                  <w:rStyle w:val="InternetLink"/>
                                  <w:rFonts w:ascii="Times New Roman;serif" w:hAnsi="Times New Roman;serif"/>
                                  <w:b w:val="false"/>
                                  <w:color w:val="0000FF"/>
                                  <w:sz w:val="20"/>
                                  <w:u w:val="single"/>
                                </w:rPr>
                                <w:t>Table of Contents</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176</w:t>
                      </w:r>
                    </w:p>
                    <w:p>
                      <w:pPr>
                        <w:pStyle w:val="TextBody"/>
                        <w:bidi w:val="0"/>
                        <w:spacing w:lineRule="auto" w:line="288" w:before="0" w:after="180"/>
                        <w:jc w:val="left"/>
                        <w:rPr/>
                      </w:pPr>
                      <w:hyperlink w:anchor="i8e13d1b6f3764394b0e424082d2ac79f_151">
                        <w:r>
                          <w:rPr>
                            <w:rStyle w:val="InternetLink"/>
                            <w:rFonts w:ascii="Times New Roman;serif" w:hAnsi="Times New Roman;serif"/>
                            <w:b w:val="false"/>
                            <w:color w:val="0000FF"/>
                            <w:sz w:val="20"/>
                            <w:u w:val="single"/>
                          </w:rPr>
                          <w:t>Table of Contents</w:t>
                        </w:r>
                      </w:hyperlink>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FIGURE TECHNOLOGY SOLUTIONS,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tables in thousands, except share and per share data, units, ratios or as otherwise noted)</w:t>
      </w:r>
    </w:p>
    <w:p>
      <w:pPr>
        <w:pStyle w:val="TextBody"/>
        <w:bidi w:val="0"/>
        <w:spacing w:before="0" w:after="180"/>
        <w:jc w:val="center"/>
        <w:rPr/>
      </w:pPr>
      <w:r>
        <w:rPr/>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Marketable Securities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activities involving the Company’s marketable securities that are measured at fair value and classified within Level 3 of the fair value hierarchy for the years ended December 31, 2025 and 2024:</w:t>
      </w:r>
    </w:p>
    <w:tbl>
      <w:tblPr>
        <w:tblW w:w="3245" w:type="dxa"/>
        <w:jc w:val="left"/>
        <w:tblInd w:w="0" w:type="dxa"/>
        <w:tblLayout w:type="fixed"/>
        <w:tblCellMar>
          <w:top w:w="28" w:type="dxa"/>
          <w:left w:w="28" w:type="dxa"/>
          <w:bottom w:w="28" w:type="dxa"/>
          <w:right w:w="28" w:type="dxa"/>
        </w:tblCellMar>
      </w:tblPr>
      <w:tblGrid>
        <w:gridCol w:w="814"/>
        <w:gridCol w:w="716"/>
        <w:gridCol w:w="719"/>
        <w:gridCol w:w="196"/>
        <w:gridCol w:w="646"/>
        <w:gridCol w:w="154"/>
      </w:tblGrid>
      <w:tr>
        <w:trPr/>
        <w:tc>
          <w:tcPr>
            <w:tcW w:w="814"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December 31, 2023</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6"/>
              </w:rPr>
              <w:t>Purchases</w:t>
            </w:r>
            <w:r>
              <w:rPr>
                <w:rFonts w:ascii="Times New Roman;serif" w:hAnsi="Times New Roman;serif"/>
                <w:b w:val="false"/>
                <w:color w:val="000000"/>
                <w:sz w:val="10"/>
              </w:rPr>
              <w:t>(A)</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24,440 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Sales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(872)</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Principal payments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(2,184)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6"/>
              </w:rPr>
              <w:t>Change in fair value</w:t>
            </w:r>
            <w:r>
              <w:rPr>
                <w:rFonts w:ascii="Times New Roman;serif" w:hAnsi="Times New Roman;serif"/>
                <w:b w:val="false"/>
                <w:color w:val="000000"/>
                <w:sz w:val="10"/>
              </w:rPr>
              <w:t>(B)</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December 31, 2024</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34,506 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6"/>
              </w:rPr>
              <w:t>Purchases</w:t>
            </w:r>
            <w:r>
              <w:rPr>
                <w:rFonts w:ascii="Times New Roman;serif" w:hAnsi="Times New Roman;serif"/>
                <w:b w:val="false"/>
                <w:color w:val="000000"/>
                <w:sz w:val="10"/>
              </w:rPr>
              <w:t>(A)</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15,968 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Sales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Principal payments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(11,582)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6"/>
              </w:rPr>
              <w:t>Change in fair value</w:t>
            </w:r>
            <w:r>
              <w:rPr>
                <w:rFonts w:ascii="Times New Roman;serif" w:hAnsi="Times New Roman;serif"/>
                <w:b w:val="false"/>
                <w:color w:val="000000"/>
                <w:sz w:val="10"/>
              </w:rPr>
              <w:t>(B)</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1,274 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December 31, 2025</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40,166 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both"/>
        <w:rPr/>
      </w:pPr>
      <w:r>
        <w:rPr>
          <w:rFonts w:ascii="Times New Roman;serif" w:hAnsi="Times New Roman;serif"/>
          <w:b w:val="false"/>
          <w:color w:val="000000"/>
          <w:sz w:val="10"/>
        </w:rPr>
        <w:t>(A)    </w:t>
      </w:r>
      <w:r>
        <w:rPr>
          <w:rFonts w:ascii="Times New Roman;serif" w:hAnsi="Times New Roman;serif"/>
          <w:b w:val="false"/>
          <w:color w:val="000000"/>
          <w:sz w:val="16"/>
        </w:rPr>
        <w:t>Includes premiums paid on the purchased notes.</w:t>
      </w:r>
    </w:p>
    <w:p>
      <w:pPr>
        <w:pStyle w:val="TextBody"/>
        <w:bidi w:val="0"/>
        <w:spacing w:lineRule="auto" w:line="288" w:before="0" w:after="180"/>
        <w:ind w:left="0" w:right="0" w:hanging="180"/>
        <w:jc w:val="both"/>
        <w:rPr/>
      </w:pPr>
      <w:r>
        <w:rPr>
          <w:rFonts w:ascii="Times New Roman;serif" w:hAnsi="Times New Roman;serif"/>
          <w:b w:val="false"/>
          <w:color w:val="000000"/>
          <w:sz w:val="10"/>
        </w:rPr>
        <w:t>(B)    </w:t>
      </w:r>
      <w:r>
        <w:rPr>
          <w:rFonts w:ascii="Times New Roman;serif" w:hAnsi="Times New Roman;serif"/>
          <w:b w:val="false"/>
          <w:color w:val="000000"/>
          <w:sz w:val="16"/>
        </w:rPr>
        <w:t>Included in “Gain on sale of loans, net” in the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Assets and Liabilities Not Measured at Fair Value on a Recurring Basis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information about the liabilities that are not measured at fair value on a recurring basis at December 31, 2025 and 2024:</w:t>
      </w:r>
    </w:p>
    <w:tbl>
      <w:tblPr>
        <w:tblW w:w="8427" w:type="dxa"/>
        <w:jc w:val="left"/>
        <w:tblInd w:w="0" w:type="dxa"/>
        <w:tblLayout w:type="fixed"/>
        <w:tblCellMar>
          <w:top w:w="28" w:type="dxa"/>
          <w:left w:w="28" w:type="dxa"/>
          <w:bottom w:w="28" w:type="dxa"/>
          <w:right w:w="28" w:type="dxa"/>
        </w:tblCellMar>
      </w:tblPr>
      <w:tblGrid>
        <w:gridCol w:w="754"/>
        <w:gridCol w:w="663"/>
        <w:gridCol w:w="668"/>
        <w:gridCol w:w="234"/>
        <w:gridCol w:w="881"/>
        <w:gridCol w:w="130"/>
        <w:gridCol w:w="109"/>
        <w:gridCol w:w="109"/>
        <w:gridCol w:w="109"/>
        <w:gridCol w:w="196"/>
        <w:gridCol w:w="406"/>
        <w:gridCol w:w="109"/>
        <w:gridCol w:w="109"/>
        <w:gridCol w:w="109"/>
        <w:gridCol w:w="109"/>
        <w:gridCol w:w="196"/>
        <w:gridCol w:w="736"/>
        <w:gridCol w:w="109"/>
        <w:gridCol w:w="109"/>
        <w:gridCol w:w="109"/>
        <w:gridCol w:w="109"/>
        <w:gridCol w:w="196"/>
        <w:gridCol w:w="646"/>
        <w:gridCol w:w="109"/>
        <w:gridCol w:w="109"/>
        <w:gridCol w:w="109"/>
        <w:gridCol w:w="109"/>
        <w:gridCol w:w="196"/>
        <w:gridCol w:w="736"/>
        <w:gridCol w:w="154"/>
      </w:tblGrid>
      <w:tr>
        <w:trPr/>
        <w:tc>
          <w:tcPr>
            <w:tcW w:w="754"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2"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Liabilities:</w:t>
            </w:r>
          </w:p>
        </w:tc>
        <w:tc>
          <w:tcPr>
            <w:tcW w:w="12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6"/>
              </w:rPr>
              <w:t>Financed retained interests</w:t>
            </w:r>
            <w:r>
              <w:rPr>
                <w:rFonts w:ascii="Times New Roman;serif" w:hAnsi="Times New Roman;serif"/>
                <w:b w:val="false"/>
                <w:color w:val="000000"/>
                <w:sz w:val="10"/>
              </w:rPr>
              <w:t>(A)</w:t>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231,633 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233,684 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39,467 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273,151 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Total liabilities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231,633 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233,684 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39,467 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273,151 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2"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Liabilities:</w:t>
            </w:r>
          </w:p>
        </w:tc>
        <w:tc>
          <w:tcPr>
            <w:tcW w:w="12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6"/>
              </w:rPr>
              <w:t>Financed retained interests</w:t>
            </w:r>
            <w:r>
              <w:rPr>
                <w:rFonts w:ascii="Times New Roman;serif" w:hAnsi="Times New Roman;serif"/>
                <w:b w:val="false"/>
                <w:color w:val="000000"/>
                <w:sz w:val="10"/>
              </w:rPr>
              <w:t>(A)</w:t>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128,101 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127,327 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127,327 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Total liabilities </w:t>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128,101 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127,327 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127,327 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180"/>
        <w:jc w:val="both"/>
        <w:rPr/>
      </w:pPr>
      <w:r>
        <w:rPr>
          <w:rFonts w:ascii="Times New Roman;serif" w:hAnsi="Times New Roman;serif"/>
          <w:b w:val="false"/>
          <w:color w:val="000000"/>
          <w:sz w:val="10"/>
        </w:rPr>
        <w:t>(A)</w:t>
      </w:r>
      <w:r>
        <w:rPr>
          <w:color w:val="000000"/>
        </w:rPr>
        <w:t>    </w:t>
      </w:r>
      <w:r>
        <w:rPr>
          <w:rFonts w:ascii="Times New Roman;serif" w:hAnsi="Times New Roman;serif"/>
          <w:b w:val="false"/>
          <w:color w:val="000000"/>
          <w:sz w:val="16"/>
        </w:rPr>
        <w:t>Financed retained interests classified as Level 2 in the fair value hierarchy were valued with a discounted cash flow model using collateral contractual terms and discount rates of similar instruments that include default and prepayment expectations as observable inputs.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Debt not carried at fair value, including financed retained interests, is presented at the face amount, net of debt issuance costs that are amortized over the contractual term using the effective interest method. The carrying value of debt associated with the warehouse facilities and servicing rights financing approximates the fair value due to their relatively short maturities.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Assets Measured at Fair Value on a Non-recurring Basis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Digital Assets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held HASH at cost, net of impairment, totaling $11.7 million and $1.5 million at December 31, 2025 and 2024, respectively, as intangible assets presented within “Digital assets” in the Consolidated Balance Sheets. In connection with a valuation that management performed with the assistance of a third-party specialist during the Reorganization, the Company determined an impairment indicator existed for the HASH it held. Therefore, the Company recognized an impairment charge of $5.9 million, equal to the difference between the fair value and cost basis of HASH, in “Other (expense) income, net” in the Consolidated Statements of Operations during the year ended December 31, 2024. There were no impairment charges during the year ended December 31, 2025 or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293370"/>
                <wp:effectExtent l="0" t="0" r="0" b="0"/>
                <wp:wrapNone/>
                <wp:docPr id="179" name="Frame177"/>
                <a:graphic xmlns:a="http://schemas.openxmlformats.org/drawingml/2006/main">
                  <a:graphicData uri="http://schemas.microsoft.com/office/word/2010/wordprocessingShape">
                    <wps:wsp>
                      <wps:cNvSpPr txBox="1"/>
                      <wps:spPr>
                        <a:xfrm>
                          <a:off x="0" y="0"/>
                          <a:ext cx="6480175" cy="293370"/>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177</w:t>
                            </w:r>
                          </w:p>
                          <w:p>
                            <w:pPr>
                              <w:pStyle w:val="TextBody"/>
                              <w:bidi w:val="0"/>
                              <w:spacing w:lineRule="auto" w:line="288" w:before="0" w:after="180"/>
                              <w:jc w:val="left"/>
                              <w:rPr/>
                            </w:pPr>
                            <w:hyperlink w:anchor="i8e13d1b6f3764394b0e424082d2ac79f_151">
                              <w:r>
                                <w:rPr>
                                  <w:rStyle w:val="InternetLink"/>
                                  <w:rFonts w:ascii="Times New Roman;serif" w:hAnsi="Times New Roman;serif"/>
                                  <w:b w:val="false"/>
                                  <w:color w:val="0000FF"/>
                                  <w:sz w:val="20"/>
                                  <w:u w:val="single"/>
                                </w:rPr>
                                <w:t>Table of Contents</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177</w:t>
                      </w:r>
                    </w:p>
                    <w:p>
                      <w:pPr>
                        <w:pStyle w:val="TextBody"/>
                        <w:bidi w:val="0"/>
                        <w:spacing w:lineRule="auto" w:line="288" w:before="0" w:after="180"/>
                        <w:jc w:val="left"/>
                        <w:rPr/>
                      </w:pPr>
                      <w:hyperlink w:anchor="i8e13d1b6f3764394b0e424082d2ac79f_151">
                        <w:r>
                          <w:rPr>
                            <w:rStyle w:val="InternetLink"/>
                            <w:rFonts w:ascii="Times New Roman;serif" w:hAnsi="Times New Roman;serif"/>
                            <w:b w:val="false"/>
                            <w:color w:val="0000FF"/>
                            <w:sz w:val="20"/>
                            <w:u w:val="single"/>
                          </w:rPr>
                          <w:t>Table of Contents</w:t>
                        </w:r>
                      </w:hyperlink>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FIGURE TECHNOLOGY SOLUTIONS,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tables in thousands, except share and per share data, units, ratios or as otherwise noted)</w:t>
      </w:r>
    </w:p>
    <w:p>
      <w:pPr>
        <w:pStyle w:val="TextBody"/>
        <w:bidi w:val="0"/>
        <w:spacing w:before="0" w:after="180"/>
        <w:jc w:val="center"/>
        <w:rPr/>
      </w:pPr>
      <w:r>
        <w:rPr/>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NOTE 13 – INCOME TAXES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Components of “Income (loss) before income taxes” in the Consolidated Statements of Operations is attributable to the following for the years ended December 31, 2025, 2024 and 2023:</w:t>
      </w:r>
    </w:p>
    <w:tbl>
      <w:tblPr>
        <w:tblW w:w="6267" w:type="dxa"/>
        <w:jc w:val="left"/>
        <w:tblInd w:w="0" w:type="dxa"/>
        <w:tblLayout w:type="fixed"/>
        <w:tblCellMar>
          <w:top w:w="28" w:type="dxa"/>
          <w:left w:w="28" w:type="dxa"/>
          <w:bottom w:w="28" w:type="dxa"/>
          <w:right w:w="28" w:type="dxa"/>
        </w:tblCellMar>
      </w:tblPr>
      <w:tblGrid>
        <w:gridCol w:w="918"/>
        <w:gridCol w:w="810"/>
        <w:gridCol w:w="822"/>
        <w:gridCol w:w="196"/>
        <w:gridCol w:w="736"/>
        <w:gridCol w:w="109"/>
        <w:gridCol w:w="109"/>
        <w:gridCol w:w="109"/>
        <w:gridCol w:w="109"/>
        <w:gridCol w:w="196"/>
        <w:gridCol w:w="646"/>
        <w:gridCol w:w="109"/>
        <w:gridCol w:w="109"/>
        <w:gridCol w:w="109"/>
        <w:gridCol w:w="109"/>
        <w:gridCol w:w="196"/>
        <w:gridCol w:w="721"/>
        <w:gridCol w:w="154"/>
      </w:tblGrid>
      <w:tr>
        <w:trPr/>
        <w:tc>
          <w:tcPr>
            <w:tcW w:w="918"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7" w:type="dxa"/>
            <w:gridSpan w:val="15"/>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Years Ended December 31,</w:t>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115,593 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(52,341)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Foreign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Income (loss) before income taxes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113,675 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22,092 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(52,341)</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(benefit) provision for income taxes is presented within the “Income tax (benefit) provision” line item in the Consolidated Statements of Operations. The following table details the Company’s income tax (benefit) provision for the years ended December 31, 2025, 2024 and 2023:</w:t>
      </w:r>
    </w:p>
    <w:tbl>
      <w:tblPr>
        <w:tblW w:w="6387" w:type="dxa"/>
        <w:jc w:val="left"/>
        <w:tblInd w:w="0" w:type="dxa"/>
        <w:tblLayout w:type="fixed"/>
        <w:tblCellMar>
          <w:top w:w="28" w:type="dxa"/>
          <w:left w:w="28" w:type="dxa"/>
          <w:bottom w:w="28" w:type="dxa"/>
          <w:right w:w="28" w:type="dxa"/>
        </w:tblCellMar>
      </w:tblPr>
      <w:tblGrid>
        <w:gridCol w:w="1112"/>
        <w:gridCol w:w="976"/>
        <w:gridCol w:w="987"/>
        <w:gridCol w:w="196"/>
        <w:gridCol w:w="721"/>
        <w:gridCol w:w="109"/>
        <w:gridCol w:w="109"/>
        <w:gridCol w:w="109"/>
        <w:gridCol w:w="109"/>
        <w:gridCol w:w="196"/>
        <w:gridCol w:w="556"/>
        <w:gridCol w:w="109"/>
        <w:gridCol w:w="109"/>
        <w:gridCol w:w="109"/>
        <w:gridCol w:w="109"/>
        <w:gridCol w:w="196"/>
        <w:gridCol w:w="421"/>
        <w:gridCol w:w="154"/>
      </w:tblGrid>
      <w:tr>
        <w:trPr/>
        <w:tc>
          <w:tcPr>
            <w:tcW w:w="1112"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2" w:type="dxa"/>
            <w:gridSpan w:val="15"/>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Years Ended December 31,</w:t>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w:t>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Federal</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State</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Foreign</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E32E1"/>
              </w:rPr>
            </w:pPr>
            <w:r>
              <w:rPr>
                <w:color w:val="0E32E1"/>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E32E1"/>
              </w:rPr>
            </w:pPr>
            <w:r>
              <w:rPr>
                <w:color w:val="0E32E1"/>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E32E1"/>
              </w:rPr>
            </w:pPr>
            <w:r>
              <w:rPr>
                <w:color w:val="0E32E1"/>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Total current</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w:t>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Federal</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State</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Foreign</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E32E1"/>
              </w:rPr>
            </w:pPr>
            <w:r>
              <w:rPr>
                <w:color w:val="0E32E1"/>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E32E1"/>
              </w:rPr>
            </w:pPr>
            <w:r>
              <w:rPr>
                <w:color w:val="0E32E1"/>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E32E1"/>
              </w:rPr>
            </w:pPr>
            <w:r>
              <w:rPr>
                <w:color w:val="0E32E1"/>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deferred</w:t>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(26,037)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(benefit) provision for income taxes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(20,606)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2,177 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180"/>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Company’s income tax (benefit) provision for the years ended December 31, 2025, 2024 and 2023 is $(20.6) million, $2.2 million, and $0.1 million, respectively. The income tax benefit in the current year is due to a partial release of the Company’s valuation allowance following the Recombination in the third quarter of 2025 and significant profits in the Company’s lending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Tax Rate Reconciliation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is a reconciliation of the income taxes expected at the statutory federal income tax rate and the income tax (benefit) provision for the years ended December 31, 2025, 2024 and 2023:</w:t>
      </w:r>
    </w:p>
    <w:tbl>
      <w:tblPr>
        <w:tblW w:w="5829" w:type="dxa"/>
        <w:jc w:val="left"/>
        <w:tblInd w:w="0" w:type="dxa"/>
        <w:tblLayout w:type="fixed"/>
        <w:tblCellMar>
          <w:top w:w="28" w:type="dxa"/>
          <w:left w:w="28" w:type="dxa"/>
          <w:bottom w:w="28" w:type="dxa"/>
          <w:right w:w="28" w:type="dxa"/>
        </w:tblCellMar>
      </w:tblPr>
      <w:tblGrid>
        <w:gridCol w:w="1004"/>
        <w:gridCol w:w="881"/>
        <w:gridCol w:w="889"/>
        <w:gridCol w:w="269"/>
        <w:gridCol w:w="271"/>
        <w:gridCol w:w="246"/>
        <w:gridCol w:w="109"/>
        <w:gridCol w:w="109"/>
        <w:gridCol w:w="109"/>
        <w:gridCol w:w="269"/>
        <w:gridCol w:w="271"/>
        <w:gridCol w:w="246"/>
        <w:gridCol w:w="109"/>
        <w:gridCol w:w="109"/>
        <w:gridCol w:w="109"/>
        <w:gridCol w:w="269"/>
        <w:gridCol w:w="271"/>
        <w:gridCol w:w="289"/>
      </w:tblGrid>
      <w:tr>
        <w:trPr/>
        <w:tc>
          <w:tcPr>
            <w:tcW w:w="1004"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ind w:left="0" w:right="0" w:hanging="180"/>
              <w:jc w:val="left"/>
              <w:rPr>
                <w:sz w:val="4"/>
                <w:szCs w:val="4"/>
              </w:rPr>
            </w:pPr>
            <w:r>
              <w:rPr>
                <w:sz w:val="4"/>
                <w:szCs w:val="4"/>
              </w:rPr>
            </w:r>
          </w:p>
        </w:tc>
      </w:tr>
      <w:tr>
        <w:trPr/>
        <w:tc>
          <w:tcPr>
            <w:tcW w:w="2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5" w:type="dxa"/>
            <w:gridSpan w:val="15"/>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2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Tax at federal statutory rate</w:t>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21.0 </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State tax, net of federal benefit</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0.4 </w:t>
            </w:r>
          </w:p>
        </w:tc>
        <w:tc>
          <w:tcPr>
            <w:tcW w:w="28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Permanent items</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Nondeductible officers’ compensation</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valuation allowance</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(29.5)</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w:t>
            </w:r>
          </w:p>
        </w:tc>
        <w:tc>
          <w:tcPr>
            <w:tcW w:w="28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w:t>
            </w:r>
          </w:p>
        </w:tc>
        <w:tc>
          <w:tcPr>
            <w:tcW w:w="28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Tax credits</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(43.0)</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w:t>
            </w:r>
          </w:p>
        </w:tc>
        <w:tc>
          <w:tcPr>
            <w:tcW w:w="28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Return to provision</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w:t>
            </w:r>
          </w:p>
        </w:tc>
        <w:tc>
          <w:tcPr>
            <w:tcW w:w="28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Rate change / state impact</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unrecognized tax benefits</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54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w:t>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9.9 </w:t>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w:t>
            </w:r>
          </w:p>
        </w:tc>
        <w:tc>
          <w:tcPr>
            <w:tcW w:w="2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293370"/>
                <wp:effectExtent l="0" t="0" r="0" b="0"/>
                <wp:wrapNone/>
                <wp:docPr id="180" name="Frame178"/>
                <a:graphic xmlns:a="http://schemas.openxmlformats.org/drawingml/2006/main">
                  <a:graphicData uri="http://schemas.microsoft.com/office/word/2010/wordprocessingShape">
                    <wps:wsp>
                      <wps:cNvSpPr txBox="1"/>
                      <wps:spPr>
                        <a:xfrm>
                          <a:off x="0" y="0"/>
                          <a:ext cx="6480175" cy="293370"/>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178</w:t>
                            </w:r>
                          </w:p>
                          <w:p>
                            <w:pPr>
                              <w:pStyle w:val="TextBody"/>
                              <w:bidi w:val="0"/>
                              <w:spacing w:lineRule="auto" w:line="288" w:before="0" w:after="180"/>
                              <w:jc w:val="left"/>
                              <w:rPr/>
                            </w:pPr>
                            <w:hyperlink w:anchor="i8e13d1b6f3764394b0e424082d2ac79f_151">
                              <w:r>
                                <w:rPr>
                                  <w:rStyle w:val="InternetLink"/>
                                  <w:rFonts w:ascii="Times New Roman;serif" w:hAnsi="Times New Roman;serif"/>
                                  <w:b w:val="false"/>
                                  <w:color w:val="0000FF"/>
                                  <w:sz w:val="20"/>
                                  <w:u w:val="single"/>
                                </w:rPr>
                                <w:t>Table of Contents</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178</w:t>
                      </w:r>
                    </w:p>
                    <w:p>
                      <w:pPr>
                        <w:pStyle w:val="TextBody"/>
                        <w:bidi w:val="0"/>
                        <w:spacing w:lineRule="auto" w:line="288" w:before="0" w:after="180"/>
                        <w:jc w:val="left"/>
                        <w:rPr/>
                      </w:pPr>
                      <w:hyperlink w:anchor="i8e13d1b6f3764394b0e424082d2ac79f_151">
                        <w:r>
                          <w:rPr>
                            <w:rStyle w:val="InternetLink"/>
                            <w:rFonts w:ascii="Times New Roman;serif" w:hAnsi="Times New Roman;serif"/>
                            <w:b w:val="false"/>
                            <w:color w:val="0000FF"/>
                            <w:sz w:val="20"/>
                            <w:u w:val="single"/>
                          </w:rPr>
                          <w:t>Table of Contents</w:t>
                        </w:r>
                      </w:hyperlink>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FIGURE TECHNOLOGY SOLUTIONS,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tables in thousands, except share and per share data, units, ratios or as otherwise noted)</w:t>
      </w:r>
    </w:p>
    <w:p>
      <w:pPr>
        <w:pStyle w:val="TextBody"/>
        <w:bidi w:val="0"/>
        <w:spacing w:before="0" w:after="180"/>
        <w:jc w:val="center"/>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components of the Company’s deferred tax assets and liabilities at December 31, 2025 and 2024 are as follows:</w:t>
      </w:r>
    </w:p>
    <w:tbl>
      <w:tblPr>
        <w:tblW w:w="5829" w:type="dxa"/>
        <w:jc w:val="left"/>
        <w:tblInd w:w="0" w:type="dxa"/>
        <w:tblLayout w:type="fixed"/>
        <w:tblCellMar>
          <w:top w:w="28" w:type="dxa"/>
          <w:left w:w="28" w:type="dxa"/>
          <w:bottom w:w="28" w:type="dxa"/>
          <w:right w:w="28" w:type="dxa"/>
        </w:tblCellMar>
      </w:tblPr>
      <w:tblGrid>
        <w:gridCol w:w="1230"/>
        <w:gridCol w:w="1084"/>
        <w:gridCol w:w="1091"/>
        <w:gridCol w:w="196"/>
        <w:gridCol w:w="721"/>
        <w:gridCol w:w="109"/>
        <w:gridCol w:w="109"/>
        <w:gridCol w:w="109"/>
        <w:gridCol w:w="109"/>
        <w:gridCol w:w="196"/>
        <w:gridCol w:w="721"/>
        <w:gridCol w:w="154"/>
      </w:tblGrid>
      <w:tr>
        <w:trPr/>
        <w:tc>
          <w:tcPr>
            <w:tcW w:w="1230"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3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Deferred tax assets:</w:t>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operating losses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51,541 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59,423 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Tax credits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2,897 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Loan sale indemnification reserve</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10,404 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Intangible assets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5,334 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Research and development capitalization</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14,726 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Lease liabilities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823 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deferred tax assets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87,366 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95,822 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Deferred tax liabilities:</w:t>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Servicing asset and other fair value adjustments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(28,718)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(22,982)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6"/>
              </w:rPr>
              <w:t>Unrealized gains (losses)</w:t>
            </w:r>
            <w:r>
              <w:rPr>
                <w:rFonts w:ascii="Times New Roman;serif" w:hAnsi="Times New Roman;serif"/>
                <w:b w:val="false"/>
                <w:color w:val="000000"/>
                <w:sz w:val="10"/>
              </w:rPr>
              <w:t>(A)</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(2,621)</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ROU assets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340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Mark to market</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E32E1"/>
              </w:rPr>
            </w:pPr>
            <w:r>
              <w:rPr>
                <w:color w:val="0E32E1"/>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deferred tax liabilities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(36,685)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(26,214)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Valuation allowance</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(24,644)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(69,608)</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deferred tax assets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26,037 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180"/>
        <w:jc w:val="both"/>
        <w:rPr/>
      </w:pPr>
      <w:r>
        <w:rPr>
          <w:rFonts w:ascii="Times New Roman;serif" w:hAnsi="Times New Roman;serif"/>
          <w:b w:val="false"/>
          <w:color w:val="000000"/>
          <w:sz w:val="10"/>
        </w:rPr>
        <w:t>(A)    </w:t>
      </w:r>
      <w:r>
        <w:rPr>
          <w:rFonts w:ascii="Times New Roman;serif" w:hAnsi="Times New Roman;serif"/>
          <w:b w:val="false"/>
          <w:color w:val="000000"/>
          <w:sz w:val="16"/>
        </w:rPr>
        <w:t>Primarily relates to unrealized gains from digital assets held for sale.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assessing the realizability of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Based on available objective evidence and the Recombination during 2025, Management believes it is more-likely-than-not that a significant portion of our deferred tax assets would be realizable as of the balance sheet date. Accordingly, the Company has released a significant portion of its valuation allowance in the current year. The valuation allowance decreased by $45.0 million and $1.5 million at December 31, 2025 and 2024, respectively, compared to the prior year. At December 31, 2025 and 2024, the valuation allowance was $24.6 million and $69.6 million, respectively.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of December 31, 2025 the Company has net operating losses for U.S. federal, state and foreign tax purposes of approximately $34.0 million, $21.8 million, and $0.3 million, respectively. Federal tax losses will carryforward indefinitely. For state purposes, such losses would begin to expire in 2029.</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of December 31, 2025 the Company has federal and state research tax credit carryforwards of $11.4 million and $0.2 million, respectively. The federal credits have a 20-year carryforward period and will begin to expire in 2038 and the state credits may be carried forward indefinitely.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Company’s ability to utilize the net operating loss in the future may be subject to substantial restrictions in the event of past or future ownership changes as defined in Section 382 of the Internal Revenue Code and similar state tax laws.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The Company recognizes a tax benefit from an uncertain tax position when it is more likely than not that the position will be sustained upon examination, including resolutions of any related appeals or litigation processes, based on the technical merits. Income tax positions must meet a more-likely-than-not recognition at the effective date to be recognized.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At December 31, 2025, 2024 and 2023 the unrecognized tax benefits recorded were approximately $6.1 million, $3.0 million and $0.1 million respectively, that if recognized, would benefit the Company’s effective tax rate. The unrecognized tax benefits are netted against the respective deferred tax assets. The Company does not anticipate a significant change in the unrecognized tax benefits within the next 12 months.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293370"/>
                <wp:effectExtent l="0" t="0" r="0" b="0"/>
                <wp:wrapNone/>
                <wp:docPr id="181" name="Frame179"/>
                <a:graphic xmlns:a="http://schemas.openxmlformats.org/drawingml/2006/main">
                  <a:graphicData uri="http://schemas.microsoft.com/office/word/2010/wordprocessingShape">
                    <wps:wsp>
                      <wps:cNvSpPr txBox="1"/>
                      <wps:spPr>
                        <a:xfrm>
                          <a:off x="0" y="0"/>
                          <a:ext cx="6480175" cy="293370"/>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179</w:t>
                            </w:r>
                          </w:p>
                          <w:p>
                            <w:pPr>
                              <w:pStyle w:val="TextBody"/>
                              <w:bidi w:val="0"/>
                              <w:spacing w:lineRule="auto" w:line="288" w:before="0" w:after="180"/>
                              <w:jc w:val="left"/>
                              <w:rPr/>
                            </w:pPr>
                            <w:hyperlink w:anchor="i8e13d1b6f3764394b0e424082d2ac79f_151">
                              <w:r>
                                <w:rPr>
                                  <w:rStyle w:val="InternetLink"/>
                                  <w:rFonts w:ascii="Times New Roman;serif" w:hAnsi="Times New Roman;serif"/>
                                  <w:b w:val="false"/>
                                  <w:color w:val="0000FF"/>
                                  <w:sz w:val="20"/>
                                  <w:u w:val="single"/>
                                </w:rPr>
                                <w:t>Table of Contents</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179</w:t>
                      </w:r>
                    </w:p>
                    <w:p>
                      <w:pPr>
                        <w:pStyle w:val="TextBody"/>
                        <w:bidi w:val="0"/>
                        <w:spacing w:lineRule="auto" w:line="288" w:before="0" w:after="180"/>
                        <w:jc w:val="left"/>
                        <w:rPr/>
                      </w:pPr>
                      <w:hyperlink w:anchor="i8e13d1b6f3764394b0e424082d2ac79f_151">
                        <w:r>
                          <w:rPr>
                            <w:rStyle w:val="InternetLink"/>
                            <w:rFonts w:ascii="Times New Roman;serif" w:hAnsi="Times New Roman;serif"/>
                            <w:b w:val="false"/>
                            <w:color w:val="0000FF"/>
                            <w:sz w:val="20"/>
                            <w:u w:val="single"/>
                          </w:rPr>
                          <w:t>Table of Contents</w:t>
                        </w:r>
                      </w:hyperlink>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FIGURE TECHNOLOGY SOLUTIONS,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tables in thousands, except share and per share data, units, ratios or as otherwise noted)</w:t>
      </w:r>
    </w:p>
    <w:p>
      <w:pPr>
        <w:pStyle w:val="TextBody"/>
        <w:bidi w:val="0"/>
        <w:spacing w:before="0" w:after="180"/>
        <w:jc w:val="center"/>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 reconciliation of the beginning and ending amounts of unrecognized tax benefit is as follows:</w:t>
      </w:r>
    </w:p>
    <w:tbl>
      <w:tblPr>
        <w:tblW w:w="6536" w:type="dxa"/>
        <w:jc w:val="left"/>
        <w:tblInd w:w="0" w:type="dxa"/>
        <w:tblLayout w:type="fixed"/>
        <w:tblCellMar>
          <w:top w:w="28" w:type="dxa"/>
          <w:left w:w="28" w:type="dxa"/>
          <w:bottom w:w="28" w:type="dxa"/>
          <w:right w:w="28" w:type="dxa"/>
        </w:tblCellMar>
      </w:tblPr>
      <w:tblGrid>
        <w:gridCol w:w="1228"/>
        <w:gridCol w:w="1079"/>
        <w:gridCol w:w="1082"/>
        <w:gridCol w:w="196"/>
        <w:gridCol w:w="556"/>
        <w:gridCol w:w="109"/>
        <w:gridCol w:w="109"/>
        <w:gridCol w:w="109"/>
        <w:gridCol w:w="109"/>
        <w:gridCol w:w="196"/>
        <w:gridCol w:w="556"/>
        <w:gridCol w:w="109"/>
        <w:gridCol w:w="109"/>
        <w:gridCol w:w="109"/>
        <w:gridCol w:w="109"/>
        <w:gridCol w:w="196"/>
        <w:gridCol w:w="421"/>
        <w:gridCol w:w="154"/>
      </w:tblGrid>
      <w:tr>
        <w:trPr/>
        <w:tc>
          <w:tcPr>
            <w:tcW w:w="1228"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7" w:type="dxa"/>
            <w:gridSpan w:val="15"/>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3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Unrecognized tax benefits at beginning of year</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Increases related to current year tax positions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Increases related to prior year tax positions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Decreases related to prior year tax positions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Settlements with tax authorities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Expiration of the statute of limitations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Unrecognized tax benefits at end of year</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3,045 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All tax years since inception are subject to examination by tax authorities. The Company is currently not under examination by any federal or state jurisdiction.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 xml:space="preserve">NOTE 14 – SUBSEQUENT EVENTS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events occurred subsequent to December 31, 2025 through March 13, 2026, the date at which the Company’s Consolidated Financial Statements were available to be issued.</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Debt Facilities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In January 2026, the Company and its lender amended Warehouse Facility 4 to extend the facility maturity date to January 2027, and add a facility sub-limit of $50.0 million for certain loan products. No other terms of the facility were amended. </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Secondary Public Offering of Blockchain Common Stock</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February 2026, the Company completed a secondary public offering of 4,375,000 shares of its Blockchain Common Stock ("Blockchain Stock"). The transaction was structured as a synthetic secondary offering in which underwriters purchased 4,375,000 existing shares of the Company’s Class A common stock from selling stockholders and sold them to the Company. The Company then sold newly minted Blockchain Stock to the purchasers. The Company received no cash proceeds from the sale of the Blockchain Stock.</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connection with the offering, the Company utilized $10.0 million of cash on hand to repurchase 312,500 shares of its Class A common stock from the underwriters at the public offering price of $32.00 (the "Share Repurchase"). The shares acquired in the Share Repurchase are held in treasury. The completion of this transaction resulted in a $10.0 million reduction in cash and cash equivalents and a corresponding increase in treasury stock, with no net impact on the total number of common shares outstanding.</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Share Repurchase Program</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On February 25, 2026, the Company’s Board of Directors authorized a share repurchase program under which the Company may repurchase up to $200 million of its Class A and Blockchain common stock over the next 12 months subject to market conditions, contractual restrictions and other factors.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Repurchases under the program may be made from time to time in the open market, through privately negotiated transactions, accelerated share repurchase transactions, or by other means in accordance with applicable securities laws and regulations. The timing, number of shares repurchased, and prices paid will depend on market conditions, share price, trading volume, corporate considerations, and other factors. Open market repurchases will be structured to occur within the pricing and volume requirements of Rule 10b-18. The Company may also, from time to time, enter into Rule 10b5-1 plans to facilitate repurchases of its shares under this authorization.</w:t>
        <w:br/>
        <w:br/>
        <w:t>This program does not obligate the Company to acquire any particular amount of stock and the program may be extended, modified, suspended or discontinued at any time at the Company’s discretion.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293370"/>
                <wp:effectExtent l="0" t="0" r="0" b="0"/>
                <wp:wrapNone/>
                <wp:docPr id="182" name="Frame180"/>
                <a:graphic xmlns:a="http://schemas.openxmlformats.org/drawingml/2006/main">
                  <a:graphicData uri="http://schemas.microsoft.com/office/word/2010/wordprocessingShape">
                    <wps:wsp>
                      <wps:cNvSpPr txBox="1"/>
                      <wps:spPr>
                        <a:xfrm>
                          <a:off x="0" y="0"/>
                          <a:ext cx="6480175" cy="293370"/>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180</w:t>
                            </w:r>
                          </w:p>
                          <w:p>
                            <w:pPr>
                              <w:pStyle w:val="TextBody"/>
                              <w:bidi w:val="0"/>
                              <w:spacing w:lineRule="auto" w:line="288" w:before="0" w:after="180"/>
                              <w:jc w:val="left"/>
                              <w:rPr/>
                            </w:pPr>
                            <w:hyperlink w:anchor="i8e13d1b6f3764394b0e424082d2ac79f_151">
                              <w:r>
                                <w:rPr>
                                  <w:rStyle w:val="InternetLink"/>
                                  <w:rFonts w:ascii="Times New Roman;serif" w:hAnsi="Times New Roman;serif"/>
                                  <w:b w:val="false"/>
                                  <w:color w:val="0000FF"/>
                                  <w:sz w:val="20"/>
                                  <w:u w:val="single"/>
                                </w:rPr>
                                <w:t>Table of Contents</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180</w:t>
                      </w:r>
                    </w:p>
                    <w:p>
                      <w:pPr>
                        <w:pStyle w:val="TextBody"/>
                        <w:bidi w:val="0"/>
                        <w:spacing w:lineRule="auto" w:line="288" w:before="0" w:after="180"/>
                        <w:jc w:val="left"/>
                        <w:rPr/>
                      </w:pPr>
                      <w:hyperlink w:anchor="i8e13d1b6f3764394b0e424082d2ac79f_151">
                        <w:r>
                          <w:rPr>
                            <w:rStyle w:val="InternetLink"/>
                            <w:rFonts w:ascii="Times New Roman;serif" w:hAnsi="Times New Roman;serif"/>
                            <w:b w:val="false"/>
                            <w:color w:val="0000FF"/>
                            <w:sz w:val="20"/>
                            <w:u w:val="single"/>
                          </w:rPr>
                          <w:t>Table of Contents</w:t>
                        </w:r>
                      </w:hyperlink>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ITEM 9. CHANGES IN AND DISAGREEMENTS WITH ACCOUNTANTS AND ACCOUNTING AND FINANCIAL DISCLOSURE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ITEM 9A. CONTROLS AND PROCEDURES</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Limitations on Effectiveness of Controls and Procedures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management, with the participation of our principal executive officer and principal financial officer, evaluated, as of the end of the period covered by this Annual Report on Form 10-K, the effectiveness of our disclosure controls and procedures (as defined in Rules 13a-15(e) and 15d-15(e) under the Exchange Act). Based on that evaluation, our principal executive officer and principal financial officer concluded that, as of December 31, 2025, our disclosure controls and procedures were effective at the reasonable assurance level.</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 xml:space="preserve">Remediation of Previously Reported Material Weaknesses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previously disclosed, as of December 31, 2024, the following material weaknesses existed: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We did not design or maintain an effective control environment commensurate with our financial reporting requirements; specifically, we did not maintain adequate resources in the accounting and finance functions with requisite knowledge, skills, and experience to accurately apply GAAP;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We did not maintain effective risk assessment and monitoring; specifically, we did not maintain adequate accounting function personnel to perform appropriate identification of risk points, and to design, implement, and monitor the effectiveness of internal controls addressing the risk points identified.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These material weaknesses contributed to several additional material weaknesses. Specifically, we did not (i) design and maintain controls over technical accounting transactions to achieve adequate and timely analysis, (ii) effectively review manual aspects of recording loan assets to ensure that they were properly reflected on our balance sheet, or (iii) adequately review deliverables from management’s valuation specialists.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have not identified a material misstatement to our financial statements resulting from the material weaknesses described above.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During the year ended December 31, 2025, the Company implemented remediation actions, including hiring additional resources and implementing internal controls over financial reporting designed to address the material weaknesses. Based on the remediation actions completed during the year ended December 31, 2025, the Company concluded that it has remediated the material weaknesses that existed as of December 31, 2024.</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There were no changes in our internal control over financial reporting (as defined in Rules 13a-15(f) and 15d-15(f) under the Exchange Act) during the year ended December 31, 2025 that have materially affected, or are reasonably likely to materially affect, our internal control over financial reporting, other than those implemented for the remediation of the material weaknesses.</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Management's Report on Internal Control over Financial Reporting</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This Annual Report does not include a report of management's assessment regarding internal control over financial reporting or an attestation report of our independent registered public accounting firm due to a transition period established by the rules of SEC for newly public companies. Additionally, our independent registered accounting firm will not be required to opine on the effectiveness of our internal control over financial reporting pursuant to Section 404 of Sarbanes-Oxley Act of 2002 until we are no longer an “emerging growth company” as defined in the JOBS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293370"/>
                <wp:effectExtent l="0" t="0" r="0" b="0"/>
                <wp:wrapNone/>
                <wp:docPr id="183" name="Frame181"/>
                <a:graphic xmlns:a="http://schemas.openxmlformats.org/drawingml/2006/main">
                  <a:graphicData uri="http://schemas.microsoft.com/office/word/2010/wordprocessingShape">
                    <wps:wsp>
                      <wps:cNvSpPr txBox="1"/>
                      <wps:spPr>
                        <a:xfrm>
                          <a:off x="0" y="0"/>
                          <a:ext cx="6480175" cy="293370"/>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181</w:t>
                            </w:r>
                          </w:p>
                          <w:p>
                            <w:pPr>
                              <w:pStyle w:val="TextBody"/>
                              <w:bidi w:val="0"/>
                              <w:spacing w:lineRule="auto" w:line="288" w:before="0" w:after="180"/>
                              <w:jc w:val="left"/>
                              <w:rPr/>
                            </w:pPr>
                            <w:hyperlink w:anchor="i8e13d1b6f3764394b0e424082d2ac79f_151">
                              <w:r>
                                <w:rPr>
                                  <w:rStyle w:val="InternetLink"/>
                                  <w:rFonts w:ascii="Times New Roman;serif" w:hAnsi="Times New Roman;serif"/>
                                  <w:b w:val="false"/>
                                  <w:color w:val="0000FF"/>
                                  <w:sz w:val="20"/>
                                  <w:u w:val="single"/>
                                </w:rPr>
                                <w:t>Table of Contents</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181</w:t>
                      </w:r>
                    </w:p>
                    <w:p>
                      <w:pPr>
                        <w:pStyle w:val="TextBody"/>
                        <w:bidi w:val="0"/>
                        <w:spacing w:lineRule="auto" w:line="288" w:before="0" w:after="180"/>
                        <w:jc w:val="left"/>
                        <w:rPr/>
                      </w:pPr>
                      <w:hyperlink w:anchor="i8e13d1b6f3764394b0e424082d2ac79f_151">
                        <w:r>
                          <w:rPr>
                            <w:rStyle w:val="InternetLink"/>
                            <w:rFonts w:ascii="Times New Roman;serif" w:hAnsi="Times New Roman;serif"/>
                            <w:b w:val="false"/>
                            <w:color w:val="0000FF"/>
                            <w:sz w:val="20"/>
                            <w:u w:val="single"/>
                          </w:rPr>
                          <w:t>Table of Contents</w:t>
                        </w:r>
                      </w:hyperlink>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ITEM 9B. OTHER INFORMATION</w:t>
      </w:r>
    </w:p>
    <w:p>
      <w:pPr>
        <w:pStyle w:val="TextBody"/>
        <w:bidi w:val="0"/>
        <w:spacing w:lineRule="auto" w:line="288" w:before="180" w:after="180"/>
        <w:jc w:val="both"/>
        <w:rPr/>
      </w:pPr>
      <w:r>
        <w:rPr>
          <w:rFonts w:ascii="Times New Roman;serif" w:hAnsi="Times New Roman;serif"/>
          <w:b w:val="false"/>
          <w:i/>
          <w:color w:val="000000"/>
          <w:sz w:val="20"/>
        </w:rPr>
        <w:t>Annual Meeting of Stockholders</w:t>
      </w:r>
      <w:r>
        <w:rPr>
          <w:color w:val="000000"/>
        </w:rPr>
        <w:t xml:space="preserve">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board of directors has established Thursday, June 4, 2026 as the date of the Company's 2026 Annual Meeting. </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Share Repurchase Program</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On February 25, 2026, the Company’s Board of Directors authorized a share repurchase program under which the Company may repurchase up to $200 million of its Class A and Blockchain common stock over the next 12 months subject to market conditions, contractual restrictions and other factors.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Repurchases under the program may be made from time to time in the open market, through privately negotiated transactions, accelerated share repurchase transactions, or by other means in accordance with applicable securities laws and regulations. The timing, number of shares repurchased, and prices paid will depend on market conditions, share price, trading volume, corporate considerations, and other factors. Open market repurchases will be structured to occur within the pricing and volume requirements of Rule 10b-18. The Company may also, from time to time, enter into Rule 10b5-1 plans to facilitate repurchases of its shares under this authorization.</w:t>
        <w:br/>
        <w:br/>
        <w:t>This program does not obligate the Company to acquire any particular amount of stock and the program may be extended, modified, suspended or discontinued at any time at the Company’s discretion.</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Insider Trading Arrangements and Policies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On December 12, 2025, Michael Cagney, a member of our Board of Directors, adopted a Rule 10b5-1 trading arrangement that is intended to satisfy the affirmative defense of Rule 10b5-1(c) for the sale of up to the net number of shares of Class A common stock underlying 666,863 shares of restricted stock units (such total number of shares is not determinable), subject to a limit price of $25.00, until December 17, 2026.</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On December 3, 2025, Michael Tannenbaum, our Chief Executive Officer and a member of our Board of Directors, adopted a Rule 10b5-1 trading arrangement that is intended to satisfy the affirmative defense of Rule 10b5-1(c) for the sale of up to (i) 60,315 shares of the Company’s Class A common stock, subject to limit prices ranging from $25.00 to $37.50, plus (ii) the net number of shares of Class A common stock underlying 639,685 shares of restricted stock units (such total number of shares is not determinable), subject to a limit price of $25.00, and in each case, until August 27, 2026.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On December 10, 2025, Macrina Kgil, our Chief Financial Officer, adopted a Rule 10b5-1 trading arrangement that is intended to satisfy the affirmative defense of Rule 10b5-1(c) for the sale of up to 48,000 shares of the Company’s Class A common stock, subject to limit prices ranging from $25.00 to $30.00, until September 24, 2026.</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On December 10, 2025, Todd Stevens, our Chief Capital Officer, adopted a Rule 10b5-1 trading arrangement that is intended to satisfy the affirmative defense of Rule 10b5-1(c) for the sale of up to (i) 153,765 shares of the Company’s Class A common stock, subject to a limit price of $30.00, plus (ii) 50% of the net number of shares of Class A common stock underlying 153,124 shares of restricted stock units (such total number of shares is not determinable), in each case, until December 22, 2026.</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Other than as set forth above, no officer, as defined in Rule 16a-1(f), or director adopted or terminated a “Rule 10b5-1 trading arrangement” or a “non-Rule 10b5-1 trading arrangement,” as defined in Regulation S-K Item 408, during the three months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ITEM 9C. DISCLOSURE REGARDING FOREIGN JURISDICTIONS THAT PREVENT INSPECTIONS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293370"/>
                <wp:effectExtent l="0" t="0" r="0" b="0"/>
                <wp:wrapNone/>
                <wp:docPr id="184" name="Frame182"/>
                <a:graphic xmlns:a="http://schemas.openxmlformats.org/drawingml/2006/main">
                  <a:graphicData uri="http://schemas.microsoft.com/office/word/2010/wordprocessingShape">
                    <wps:wsp>
                      <wps:cNvSpPr txBox="1"/>
                      <wps:spPr>
                        <a:xfrm>
                          <a:off x="0" y="0"/>
                          <a:ext cx="6480175" cy="293370"/>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182</w:t>
                            </w:r>
                          </w:p>
                          <w:p>
                            <w:pPr>
                              <w:pStyle w:val="TextBody"/>
                              <w:bidi w:val="0"/>
                              <w:spacing w:lineRule="auto" w:line="288" w:before="0" w:after="180"/>
                              <w:jc w:val="left"/>
                              <w:rPr/>
                            </w:pPr>
                            <w:hyperlink w:anchor="i8e13d1b6f3764394b0e424082d2ac79f_151">
                              <w:r>
                                <w:rPr>
                                  <w:rStyle w:val="InternetLink"/>
                                  <w:rFonts w:ascii="Times New Roman;serif" w:hAnsi="Times New Roman;serif"/>
                                  <w:b w:val="false"/>
                                  <w:color w:val="0000FF"/>
                                  <w:sz w:val="20"/>
                                  <w:u w:val="single"/>
                                </w:rPr>
                                <w:t>Table of Contents</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182</w:t>
                      </w:r>
                    </w:p>
                    <w:p>
                      <w:pPr>
                        <w:pStyle w:val="TextBody"/>
                        <w:bidi w:val="0"/>
                        <w:spacing w:lineRule="auto" w:line="288" w:before="0" w:after="180"/>
                        <w:jc w:val="left"/>
                        <w:rPr/>
                      </w:pPr>
                      <w:hyperlink w:anchor="i8e13d1b6f3764394b0e424082d2ac79f_151">
                        <w:r>
                          <w:rPr>
                            <w:rStyle w:val="InternetLink"/>
                            <w:rFonts w:ascii="Times New Roman;serif" w:hAnsi="Times New Roman;serif"/>
                            <w:b w:val="false"/>
                            <w:color w:val="0000FF"/>
                            <w:sz w:val="20"/>
                            <w:u w:val="single"/>
                          </w:rPr>
                          <w:t>Table of Contents</w:t>
                        </w:r>
                      </w:hyperlink>
                    </w:p>
                  </w:txbxContent>
                </v:textbox>
                <w10:wrap type="none"/>
              </v:rect>
            </w:pict>
          </mc:Fallback>
        </mc:AlternateContent>
      </w:r>
    </w:p>
    <w:p>
      <w:pPr>
        <w:pStyle w:val="TextBody"/>
        <w:bidi w:val="0"/>
        <w:spacing w:before="0" w:after="180"/>
        <w:jc w:val="left"/>
        <w:rPr/>
      </w:pPr>
      <w:r>
        <w:rPr/>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ITEM 10. DIRECTORS, EXECUTIVE OFFICERS, AND CORPORATE GOVERNANCE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 xml:space="preserve">Information about our Directors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information concerning our board of directors as of the date of this Annual Report.</w:t>
      </w:r>
    </w:p>
    <w:tbl>
      <w:tblPr>
        <w:tblW w:w="6114" w:type="dxa"/>
        <w:jc w:val="left"/>
        <w:tblInd w:w="0" w:type="dxa"/>
        <w:tblLayout w:type="fixed"/>
        <w:tblCellMar>
          <w:top w:w="28" w:type="dxa"/>
          <w:left w:w="28" w:type="dxa"/>
          <w:bottom w:w="28" w:type="dxa"/>
          <w:right w:w="28" w:type="dxa"/>
        </w:tblCellMar>
      </w:tblPr>
      <w:tblGrid>
        <w:gridCol w:w="689"/>
        <w:gridCol w:w="605"/>
        <w:gridCol w:w="610"/>
        <w:gridCol w:w="109"/>
        <w:gridCol w:w="109"/>
        <w:gridCol w:w="109"/>
        <w:gridCol w:w="145"/>
        <w:gridCol w:w="145"/>
        <w:gridCol w:w="146"/>
        <w:gridCol w:w="109"/>
        <w:gridCol w:w="109"/>
        <w:gridCol w:w="109"/>
        <w:gridCol w:w="911"/>
        <w:gridCol w:w="911"/>
        <w:gridCol w:w="1298"/>
      </w:tblGrid>
      <w:tr>
        <w:trPr/>
        <w:tc>
          <w:tcPr>
            <w:tcW w:w="689"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Position</w:t>
            </w:r>
          </w:p>
        </w:tc>
      </w:tr>
      <w:tr>
        <w:trPr/>
        <w:tc>
          <w:tcPr>
            <w:tcW w:w="19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Michael Tannenbaum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Chief Executive Officer and Director</w:t>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Adam Boyden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Michael Cagney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David Katsujin Chao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Lesley Goldwasser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Sachin Jaitly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Daniel Morehead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June Ou</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Director</w:t>
            </w:r>
          </w:p>
        </w:tc>
      </w:tr>
    </w:tbl>
    <w:p>
      <w:pPr>
        <w:pStyle w:val="TextBody"/>
        <w:bidi w:val="0"/>
        <w:spacing w:lineRule="auto" w:line="288" w:before="0" w:after="180"/>
        <w:jc w:val="both"/>
        <w:rPr/>
      </w:pPr>
      <w:r>
        <w:rPr>
          <w:rFonts w:ascii="Times New Roman;serif" w:hAnsi="Times New Roman;serif"/>
          <w:b w:val="false"/>
          <w:i/>
          <w:color w:val="000000"/>
          <w:sz w:val="20"/>
        </w:rPr>
        <w:t>Michael Tannenbaum</w:t>
      </w:r>
      <w:r>
        <w:rPr>
          <w:rFonts w:ascii="Times New Roman;serif" w:hAnsi="Times New Roman;serif"/>
          <w:b w:val="false"/>
          <w:color w:val="000000"/>
          <w:sz w:val="20"/>
        </w:rPr>
        <w:t xml:space="preserve">. Mr. Tannenbaum has served as our Chief Executive Officer since April 2024, and as a member of our board of directors since July 2024. Prior to joining Figure, Mr. Tannenbaum served as an executive at Brex, Inc., a technology and financial services company. Mr. Tannenbaum served as Brex's Chief Operating Officer from November 2021 to January 2024, and as its Chief Financial Officer and Chief Business Officer from July 2017 to November 2021. Earlier in his career, Mr. Tannenbaum held significant leadership roles at SoFi Technologies, Inc. (NASDAQ: SOFI) (“SoFi”), a financial services company, from July 2014 to July 2017, including as Chief Revenue Officer. Mr. Tannenbaum also worked at Hellman &amp; Friedman, a private equity firm, and in the investment banking division at JPMorgan Chase, a multinational investment bank and financial services company. Mr. Tannenbaum graduated </w:t>
      </w:r>
      <w:r>
        <w:rPr>
          <w:rFonts w:ascii="Times New Roman;serif" w:hAnsi="Times New Roman;serif"/>
          <w:b w:val="false"/>
          <w:i/>
          <w:color w:val="000000"/>
          <w:sz w:val="20"/>
        </w:rPr>
        <w:t>summa cum laude</w:t>
      </w:r>
      <w:r>
        <w:rPr>
          <w:color w:val="000000"/>
        </w:rPr>
        <w:t xml:space="preserve"> </w:t>
      </w:r>
      <w:r>
        <w:rPr>
          <w:rFonts w:ascii="Times New Roman;serif" w:hAnsi="Times New Roman;serif"/>
          <w:b w:val="false"/>
          <w:color w:val="000000"/>
          <w:sz w:val="20"/>
        </w:rPr>
        <w:t>from Columbia University with a B.A. in Economics and Urban Studies.</w:t>
      </w:r>
    </w:p>
    <w:p>
      <w:pPr>
        <w:pStyle w:val="TextBody"/>
        <w:bidi w:val="0"/>
        <w:spacing w:lineRule="auto" w:line="288" w:before="0" w:after="180"/>
        <w:jc w:val="both"/>
        <w:rPr/>
      </w:pPr>
      <w:r>
        <w:rPr>
          <w:rFonts w:ascii="Times New Roman;serif" w:hAnsi="Times New Roman;serif"/>
          <w:b w:val="false"/>
          <w:i/>
          <w:color w:val="000000"/>
          <w:sz w:val="20"/>
        </w:rPr>
        <w:t>Adam Boyden</w:t>
      </w:r>
      <w:r>
        <w:rPr>
          <w:rFonts w:ascii="Times New Roman;serif" w:hAnsi="Times New Roman;serif"/>
          <w:b w:val="false"/>
          <w:color w:val="000000"/>
          <w:sz w:val="20"/>
        </w:rPr>
        <w:t xml:space="preserve">. Mr. Boyden has served as a member of our board of directors since March 2024. Mr. Boyden also previously served as a member of the board of directors of FT. Since September 2014, Mr. Boyden has also served as a general partner of RPM Ventures, a venture capital firm. From 2012 to 2013, Mr. Boyden served as the Chief Operating Officer of SoFi. From 2008 to 2012, he served as the President of Conduit Ltd., a cloud-based user engagement platform based in Israel. From 2006 to 2008, he served as the General Manager at Xfire, Inc., an instant messaging service and server browser for video games, and from 2004 to 2006 he served as their Vice President of Marketing and Business Development. From 2002 to 2004, Mr. Boyden was the founder and CEO of Openlane, Inc., an internet-based business-to-business automotive remarketing company. Mr. Boyden also currently serves on the boards of directors of Coterie Applications, Inc., an embedded insurance company, DailyPay Holdings, Inc., an on-demand pay solution, Family First, Inc., a caregiving software platform, Overalls Inc., a concierge benefits technology platform, Ao1 Holdings Inc. (d/b/a Players Health), a youth sports data and insurance platform, and Roost, Inc., a connected home technology platform. Mr. Boyden has a bachelor’s degree in engineering science from the University of Exeter and an M.B.A. from Stanford University’s Graduate School of Business. </w:t>
      </w:r>
    </w:p>
    <w:p>
      <w:pPr>
        <w:pStyle w:val="TextBody"/>
        <w:bidi w:val="0"/>
        <w:spacing w:lineRule="auto" w:line="288" w:before="0" w:after="180"/>
        <w:jc w:val="both"/>
        <w:rPr/>
      </w:pPr>
      <w:r>
        <w:rPr>
          <w:rFonts w:ascii="Times New Roman;serif" w:hAnsi="Times New Roman;serif"/>
          <w:b w:val="false"/>
          <w:i/>
          <w:color w:val="000000"/>
          <w:sz w:val="20"/>
        </w:rPr>
        <w:t>Michael Cagney</w:t>
      </w:r>
      <w:r>
        <w:rPr>
          <w:rFonts w:ascii="Times New Roman;serif" w:hAnsi="Times New Roman;serif"/>
          <w:b w:val="false"/>
          <w:color w:val="000000"/>
          <w:sz w:val="20"/>
        </w:rPr>
        <w:t>. Mr. Cagney has served as a member of our board of directors since March 2024. Mr. Cagney is one of our co-founders. Mr. Cagney also serves as the Chief Executive Officer of FMH, a position he has held since April 2024, and as the President of Figure REIT, a position he has held since October 2020. He is also a member of the board of directors of various of our subsidiaries. From January 2018 to March 2024, Mr. Cagney served as the Chief Executive Officer and as a member of the board of directors of FT. Mr. Cagney also served as Chief Executive Officer and President of FLC from January 2018 to July 2024. From 2011 to 2017, Mr. Cagney served as Chief Executive Officer and Chairman of the Board of SoFi, a technology and financial services company. Mr. Cagney’s career began at Wells Fargo, followed by founding roles at Finaplex, a wealth management software company, and Cabezon Investment Group, a global macro hedge fund. His significant contributions to the financial industry, particularly in leveraging blockchain technology, have garnered widespread recognition and accolades in professional circles and notable publications. Mr. Cagney holds a B.A. in Economics and an M.S. in Applied Economics and Finance from the University of California, Santa Cruz, and an M.S. in Management from Stanford University’s Graduate School of Business.</w:t>
      </w:r>
    </w:p>
    <w:p>
      <w:pPr>
        <w:pStyle w:val="TextBody"/>
        <w:bidi w:val="0"/>
        <w:spacing w:lineRule="auto" w:line="288" w:before="0" w:after="180"/>
        <w:jc w:val="both"/>
        <w:rPr/>
      </w:pPr>
      <w:r>
        <w:rPr>
          <w:rFonts w:ascii="Times New Roman;serif" w:hAnsi="Times New Roman;serif"/>
          <w:b w:val="false"/>
          <w:i/>
          <w:color w:val="000000"/>
          <w:sz w:val="20"/>
        </w:rPr>
        <w:t>David Katsujin Chao</w:t>
      </w:r>
      <w:r>
        <w:rPr>
          <w:rFonts w:ascii="Times New Roman;serif" w:hAnsi="Times New Roman;serif"/>
          <w:b w:val="false"/>
          <w:color w:val="000000"/>
          <w:sz w:val="20"/>
        </w:rPr>
        <w:t xml:space="preserve">. Mr. Chao has served as a member of our board of directors since March 2024. Mr. Chao also previously served on the board of directors of FMH and FT. Mr. Chao has served as the General Partner at DCM Ventures, a global venture capital firm which he co-founded, since January 1996. At DCM Ventures, Mr. Chao specializes in guiding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480175" cy="293370"/>
                <wp:effectExtent l="0" t="0" r="0" b="0"/>
                <wp:wrapNone/>
                <wp:docPr id="185" name="Frame183"/>
                <a:graphic xmlns:a="http://schemas.openxmlformats.org/drawingml/2006/main">
                  <a:graphicData uri="http://schemas.microsoft.com/office/word/2010/wordprocessingShape">
                    <wps:wsp>
                      <wps:cNvSpPr txBox="1"/>
                      <wps:spPr>
                        <a:xfrm>
                          <a:off x="0" y="0"/>
                          <a:ext cx="6480175" cy="293370"/>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183</w:t>
                            </w:r>
                          </w:p>
                          <w:p>
                            <w:pPr>
                              <w:pStyle w:val="TextBody"/>
                              <w:bidi w:val="0"/>
                              <w:spacing w:lineRule="auto" w:line="288" w:before="0" w:after="180"/>
                              <w:jc w:val="left"/>
                              <w:rPr/>
                            </w:pPr>
                            <w:hyperlink w:anchor="i8e13d1b6f3764394b0e424082d2ac79f_151">
                              <w:r>
                                <w:rPr>
                                  <w:rStyle w:val="InternetLink"/>
                                  <w:rFonts w:ascii="Times New Roman;serif" w:hAnsi="Times New Roman;serif"/>
                                  <w:b w:val="false"/>
                                  <w:color w:val="0000FF"/>
                                  <w:sz w:val="20"/>
                                  <w:u w:val="single"/>
                                </w:rPr>
                                <w:t>Table of Contents</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183</w:t>
                      </w:r>
                    </w:p>
                    <w:p>
                      <w:pPr>
                        <w:pStyle w:val="TextBody"/>
                        <w:bidi w:val="0"/>
                        <w:spacing w:lineRule="auto" w:line="288" w:before="0" w:after="180"/>
                        <w:jc w:val="left"/>
                        <w:rPr/>
                      </w:pPr>
                      <w:hyperlink w:anchor="i8e13d1b6f3764394b0e424082d2ac79f_151">
                        <w:r>
                          <w:rPr>
                            <w:rStyle w:val="InternetLink"/>
                            <w:rFonts w:ascii="Times New Roman;serif" w:hAnsi="Times New Roman;serif"/>
                            <w:b w:val="false"/>
                            <w:color w:val="0000FF"/>
                            <w:sz w:val="20"/>
                            <w:u w:val="single"/>
                          </w:rPr>
                          <w:t>Table of Contents</w:t>
                        </w:r>
                      </w:hyperlink>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portfolio companies in developing their corporate and product marketing strategies, building management teams, and forging domestic and international partnerships. Prior to DCM Ventures, Mr. Chao was a co-founder and acting Chief Financial Officer and Chief Technology Officer of Japan Communications Inc. (TSE: 9424), Japan’s first mobile virtual network operator. Earlier in his career, Mr. Chao worked as a consultant at McKinsey &amp; Company and held significant leadership roles at Apple and Recruit, Japan’s largest HR infomediary corporation. Mr. Chao has served as a member of the board of directors of FT since July 2018. He also currently serves as a member of the board of directors of SoftBank Group (TSE: 9984). Mr. Chao has been recognized as a leading venture capitalist by Forbes Magazine and named to the Forbes Midas List Hall of Fame in 2016. He holds a B.A. from Brown University and an M.B.A. from Stanford University’s Graduate School of Business.</w:t>
      </w:r>
    </w:p>
    <w:p>
      <w:pPr>
        <w:pStyle w:val="TextBody"/>
        <w:bidi w:val="0"/>
        <w:spacing w:lineRule="auto" w:line="288" w:before="0" w:after="180"/>
        <w:jc w:val="both"/>
        <w:rPr/>
      </w:pPr>
      <w:r>
        <w:rPr>
          <w:rFonts w:ascii="Times New Roman;serif" w:hAnsi="Times New Roman;serif"/>
          <w:b w:val="false"/>
          <w:i/>
          <w:color w:val="000000"/>
          <w:sz w:val="20"/>
        </w:rPr>
        <w:t>Lesley Goldwasser</w:t>
      </w:r>
      <w:r>
        <w:rPr>
          <w:rFonts w:ascii="Times New Roman;serif" w:hAnsi="Times New Roman;serif"/>
          <w:b w:val="false"/>
          <w:color w:val="000000"/>
          <w:sz w:val="20"/>
        </w:rPr>
        <w:t xml:space="preserve">. Mrs. Goldwasser has served as a member of our board of directors since July 2025. Since 2013, Mrs. Goldwasser has also served as Managing Partner of GreensLedge Capital Markets, a boutique investment banking firm focused on structured products and securitizations. From 2010 to 2013, she served as Managing Director of Credit Suisse Group AG, a large investment and commercial bank, where she managed the Global Strategic Finance division. From 1996 to 2010, Mrs. Goldwasser served as Managing Director of Bear Stearns and Bear Stearns Merchant Banking, global investment banks, where she served as head of the Debt and Equity Capital Markets division and global head of the Structured Products division. Mrs. Goldwasser holds a B.B.S. in Business, Finance and Marketing from the University of Cape Town. </w:t>
      </w:r>
    </w:p>
    <w:p>
      <w:pPr>
        <w:pStyle w:val="TextBody"/>
        <w:bidi w:val="0"/>
        <w:spacing w:lineRule="auto" w:line="288" w:before="0" w:after="180"/>
        <w:jc w:val="both"/>
        <w:rPr/>
      </w:pPr>
      <w:r>
        <w:rPr>
          <w:rFonts w:ascii="Times New Roman;serif" w:hAnsi="Times New Roman;serif"/>
          <w:b w:val="false"/>
          <w:i/>
          <w:color w:val="000000"/>
          <w:sz w:val="20"/>
        </w:rPr>
        <w:t>Sachin Jaitly</w:t>
      </w:r>
      <w:r>
        <w:rPr>
          <w:rFonts w:ascii="Times New Roman;serif" w:hAnsi="Times New Roman;serif"/>
          <w:b w:val="false"/>
          <w:color w:val="000000"/>
          <w:sz w:val="20"/>
        </w:rPr>
        <w:t xml:space="preserve">. Dr. Jaitly has served as a member of our board of directors since March 2024. Dr. Jaitly also currently serves on the board of directors of Figure Assets LLC and FMH and previously served as a member of the board of directors of FT. Since April 2021, Dr. Jaitly has also served as the founding General Partner of Morgan Creek Digital, a venture capital fund focused on web3 technologies. Since January 2018, he has also served as founding Managing Partner of Tessera Venture Partners, a venture capital fund focused on Blockchain and AI. Earlier in his career, Dr. Jaitly held various leadership roles at Datalogix Holdings Inc. (“Datalogix”), The Neat Company, flexEngage, Inc. (“flexEngage”), Nokia Corporation (“Nokia”), and General Electric. Dr. Jaitly was also the co-founder of flexEngage and participated in its acquisition by Klarna Holding AB, the acquisition of Nokia by Microsoft Corporation, and the acquisition of Datalogix by Oracle Corp. Dr. Jaitly holds a bachelor’s degree in International Business and an M.B.A. in Finance and Management from Rollins College. He also holds an Executive Education Certificate in Blockchain Technologies, Business Innovation and Application from the Massachusetts Institute of Technology and a Doctor of Business Administration in Finance from the University of Florida. </w:t>
      </w:r>
    </w:p>
    <w:p>
      <w:pPr>
        <w:pStyle w:val="TextBody"/>
        <w:bidi w:val="0"/>
        <w:spacing w:lineRule="auto" w:line="288" w:before="0" w:after="180"/>
        <w:jc w:val="both"/>
        <w:rPr/>
      </w:pPr>
      <w:r>
        <w:rPr>
          <w:rFonts w:ascii="Times New Roman;serif" w:hAnsi="Times New Roman;serif"/>
          <w:b w:val="false"/>
          <w:i/>
          <w:color w:val="000000"/>
          <w:sz w:val="20"/>
        </w:rPr>
        <w:t>Daniel Morehead</w:t>
      </w:r>
      <w:r>
        <w:rPr>
          <w:rFonts w:ascii="Times New Roman;serif" w:hAnsi="Times New Roman;serif"/>
          <w:b w:val="false"/>
          <w:color w:val="000000"/>
          <w:sz w:val="20"/>
        </w:rPr>
        <w:t xml:space="preserve">. Mr. Morehead has served as a member of our board of directors since August 2025. Since 2003, Mr. Morehead has also served as founding Managing Partner of Pantera Capital Management, a global investment firm focused on blockchain and digital currencies. From 1996 to 2000, he served as Chief Financial Officer and Head of Macro Trading of Tiger Management, a hedge fund. Earlier in his career, Mr. Morehead served as Global Head of the Foreign Exchange Options division at Deutsche Bank and Managing Director of the Global Portfolio Group at Bankers Trust, each an investment bank. Mr. Morehead holds a B.S.E. in Civil Engineering from Princeton University. </w:t>
      </w:r>
    </w:p>
    <w:p>
      <w:pPr>
        <w:pStyle w:val="TextBody"/>
        <w:bidi w:val="0"/>
        <w:spacing w:lineRule="auto" w:line="288" w:before="0" w:after="180"/>
        <w:jc w:val="both"/>
        <w:rPr/>
      </w:pPr>
      <w:r>
        <w:rPr>
          <w:rFonts w:ascii="Times New Roman;serif" w:hAnsi="Times New Roman;serif"/>
          <w:b w:val="false"/>
          <w:i/>
          <w:color w:val="000000"/>
          <w:sz w:val="20"/>
        </w:rPr>
        <w:t>June Ou</w:t>
      </w:r>
      <w:r>
        <w:rPr>
          <w:rFonts w:ascii="Times New Roman;serif" w:hAnsi="Times New Roman;serif"/>
          <w:b w:val="false"/>
          <w:color w:val="000000"/>
          <w:sz w:val="20"/>
        </w:rPr>
        <w:t>. Ms. Ou has served as a member of our board of directors since January 2025. Ms. Ou is one of our co-founders. She previously served as President of FT from November 2022 to March 2024, overseeing the firm’s operations and strategic direction. Ms. Ou has deep experience in the financial technology industry, having served as the Chief Operating Officer of FT from January 2018 to November 2022 and as the Chief Technology Officer of SoFi from 2012 to 2017. Ms. Ou previously served as Chief Executive Officer of CCO Solutions, a provider of outsourced solutions to the hedge fund industry, and as Vice President of Engineering at Finaplex, Inc., a developer of financial services software. Ms. Ou holds a B.A. in International Relations from the University of Delaware, an M.S. in Applied Economics from the University of California, Santa Cruz, and an M.S. from Stanford University’s Graduate School of Business, where she was a Sloan Fellow.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Information about our Executive Officers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information concerning our executive officers as of the date of this Annual Report.</w:t>
      </w:r>
    </w:p>
    <w:tbl>
      <w:tblPr>
        <w:tblW w:w="6279" w:type="dxa"/>
        <w:jc w:val="left"/>
        <w:tblInd w:w="0" w:type="dxa"/>
        <w:tblLayout w:type="fixed"/>
        <w:tblCellMar>
          <w:top w:w="28" w:type="dxa"/>
          <w:left w:w="28" w:type="dxa"/>
          <w:bottom w:w="28" w:type="dxa"/>
          <w:right w:w="28" w:type="dxa"/>
        </w:tblCellMar>
      </w:tblPr>
      <w:tblGrid>
        <w:gridCol w:w="748"/>
        <w:gridCol w:w="657"/>
        <w:gridCol w:w="664"/>
        <w:gridCol w:w="109"/>
        <w:gridCol w:w="109"/>
        <w:gridCol w:w="109"/>
        <w:gridCol w:w="145"/>
        <w:gridCol w:w="145"/>
        <w:gridCol w:w="146"/>
        <w:gridCol w:w="109"/>
        <w:gridCol w:w="109"/>
        <w:gridCol w:w="109"/>
        <w:gridCol w:w="911"/>
        <w:gridCol w:w="911"/>
        <w:gridCol w:w="1298"/>
      </w:tblGrid>
      <w:tr>
        <w:trPr/>
        <w:tc>
          <w:tcPr>
            <w:tcW w:w="748"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Position</w:t>
            </w:r>
          </w:p>
        </w:tc>
      </w:tr>
      <w:tr>
        <w:trPr/>
        <w:tc>
          <w:tcPr>
            <w:tcW w:w="20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val="false"/>
                <w:color w:val="000000"/>
                <w:sz w:val="20"/>
              </w:rPr>
              <w:t>Michael Tannenbaum</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Chief Executive Officer and Director</w:t>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Macrina Kgil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Todd Stevens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Chief Capital Officer</w:t>
            </w:r>
          </w:p>
        </w:tc>
      </w:tr>
    </w:tbl>
    <w:p>
      <w:pPr>
        <w:pStyle w:val="TextBody"/>
        <w:bidi w:val="0"/>
        <w:spacing w:lineRule="auto" w:line="288" w:before="0" w:after="180"/>
        <w:jc w:val="both"/>
        <w:rPr/>
      </w:pPr>
      <w:r>
        <w:rPr>
          <w:rFonts w:ascii="Times New Roman;serif" w:hAnsi="Times New Roman;serif"/>
          <w:b w:val="false"/>
          <w:color w:val="000000"/>
          <w:sz w:val="16"/>
        </w:rPr>
        <w:t>(1)</w:t>
      </w:r>
      <w:r>
        <w:rPr>
          <w:rFonts w:ascii="Times New Roman;serif" w:hAnsi="Times New Roman;serif"/>
          <w:b w:val="false"/>
          <w:color w:val="000000"/>
          <w:sz w:val="16"/>
        </w:rPr>
        <w:t>The biography for Michael Tannenbaum appears above in the section titled “Information about our Directors.”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480175" cy="293370"/>
                <wp:effectExtent l="0" t="0" r="0" b="0"/>
                <wp:wrapNone/>
                <wp:docPr id="186" name="Frame184"/>
                <a:graphic xmlns:a="http://schemas.openxmlformats.org/drawingml/2006/main">
                  <a:graphicData uri="http://schemas.microsoft.com/office/word/2010/wordprocessingShape">
                    <wps:wsp>
                      <wps:cNvSpPr txBox="1"/>
                      <wps:spPr>
                        <a:xfrm>
                          <a:off x="0" y="0"/>
                          <a:ext cx="6480175" cy="293370"/>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184</w:t>
                            </w:r>
                          </w:p>
                          <w:p>
                            <w:pPr>
                              <w:pStyle w:val="TextBody"/>
                              <w:bidi w:val="0"/>
                              <w:spacing w:lineRule="auto" w:line="288" w:before="0" w:after="180"/>
                              <w:jc w:val="left"/>
                              <w:rPr/>
                            </w:pPr>
                            <w:hyperlink w:anchor="i8e13d1b6f3764394b0e424082d2ac79f_151">
                              <w:r>
                                <w:rPr>
                                  <w:rStyle w:val="InternetLink"/>
                                  <w:rFonts w:ascii="Times New Roman;serif" w:hAnsi="Times New Roman;serif"/>
                                  <w:b w:val="false"/>
                                  <w:color w:val="0000FF"/>
                                  <w:sz w:val="20"/>
                                  <w:u w:val="single"/>
                                </w:rPr>
                                <w:t>Table of Contents</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184</w:t>
                      </w:r>
                    </w:p>
                    <w:p>
                      <w:pPr>
                        <w:pStyle w:val="TextBody"/>
                        <w:bidi w:val="0"/>
                        <w:spacing w:lineRule="auto" w:line="288" w:before="0" w:after="180"/>
                        <w:jc w:val="left"/>
                        <w:rPr/>
                      </w:pPr>
                      <w:hyperlink w:anchor="i8e13d1b6f3764394b0e424082d2ac79f_151">
                        <w:r>
                          <w:rPr>
                            <w:rStyle w:val="InternetLink"/>
                            <w:rFonts w:ascii="Times New Roman;serif" w:hAnsi="Times New Roman;serif"/>
                            <w:b w:val="false"/>
                            <w:color w:val="0000FF"/>
                            <w:sz w:val="20"/>
                            <w:u w:val="single"/>
                          </w:rPr>
                          <w:t>Table of Contents</w:t>
                        </w:r>
                      </w:hyperlink>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both"/>
        <w:rPr/>
      </w:pPr>
      <w:r>
        <w:rPr>
          <w:rFonts w:ascii="Times New Roman;serif" w:hAnsi="Times New Roman;serif"/>
          <w:b w:val="false"/>
          <w:i/>
          <w:color w:val="000000"/>
          <w:sz w:val="20"/>
        </w:rPr>
        <w:t>Macrina Kgil</w:t>
      </w:r>
      <w:r>
        <w:rPr>
          <w:rFonts w:ascii="Times New Roman;serif" w:hAnsi="Times New Roman;serif"/>
          <w:b w:val="false"/>
          <w:color w:val="000000"/>
          <w:sz w:val="20"/>
        </w:rPr>
        <w:t>. Ms. Kgil has served as our Chief Financial Officer since December 2024. Prior to joining Figure, Ms. Kgil served as the Head of Finance at Flow.life, a real estate technology company, which is a position she held from July 2023 to November 2024. From November 2018 to November 2022, Ms. Kgil was also the Chief Financial Officer of Blockchain.com, a digital asset financial technology company. Concurrently, from November 2018 to June 2023, Ms. Kgil served as the Chief Financial Officer of Blockchain Venture Fund, a digital asset investment fund. Ms. Kgil’s career began at PricewaterhouseCoopers, followed by leadership roles at a variety of financial services firms, including Fortress Investment Group and OneMain Financial. Ms. Kgil holds a bachelor’s degree in Mineral and Petroleum Engineering from Seoul National University.</w:t>
      </w:r>
    </w:p>
    <w:p>
      <w:pPr>
        <w:pStyle w:val="TextBody"/>
        <w:bidi w:val="0"/>
        <w:spacing w:lineRule="auto" w:line="288" w:before="0" w:after="180"/>
        <w:jc w:val="both"/>
        <w:rPr/>
      </w:pPr>
      <w:r>
        <w:rPr>
          <w:rFonts w:ascii="Times New Roman;serif" w:hAnsi="Times New Roman;serif"/>
          <w:b w:val="false"/>
          <w:i/>
          <w:color w:val="000000"/>
          <w:sz w:val="20"/>
        </w:rPr>
        <w:t>Todd Stevens</w:t>
      </w:r>
      <w:r>
        <w:rPr>
          <w:rFonts w:ascii="Times New Roman;serif" w:hAnsi="Times New Roman;serif"/>
          <w:b w:val="false"/>
          <w:color w:val="000000"/>
          <w:sz w:val="20"/>
        </w:rPr>
        <w:t xml:space="preserve">. Mr. Stevens has served as our Chief Capital Officer since November 2023. Prior to joining Figure, Mr. Stevens served as Head of Capital Markets at Inveniam Capital Partners, a web3 software infrastructure company, from April 2021 to November 2023. From June 2004 to March 2020, Mr. Stevens served at Deutsche Bank in various roles, most recently as Global Head of Key Client Partners. At Deutsche Bank, Mr. Stevens was a member of the Global Wealth Management Executive Committee and oversaw a team of more than 70 people across seven countries. Mr. Stevens began his career at PricewaterhouseCoopers. Mr. Stevens graduated </w:t>
      </w:r>
      <w:r>
        <w:rPr>
          <w:rFonts w:ascii="Times New Roman;serif" w:hAnsi="Times New Roman;serif"/>
          <w:b w:val="false"/>
          <w:i/>
          <w:color w:val="000000"/>
          <w:sz w:val="20"/>
        </w:rPr>
        <w:t>magna cum laude</w:t>
      </w:r>
      <w:r>
        <w:rPr>
          <w:color w:val="000000"/>
        </w:rPr>
        <w:t xml:space="preserve"> </w:t>
      </w:r>
      <w:r>
        <w:rPr>
          <w:rFonts w:ascii="Times New Roman;serif" w:hAnsi="Times New Roman;serif"/>
          <w:b w:val="false"/>
          <w:color w:val="000000"/>
          <w:sz w:val="20"/>
        </w:rPr>
        <w:t>with general honors from the University of Georgia with a B.B.A. in accounting.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Code of Business Conduct and Ethics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board of directors adopted a code of business conduct and ethics that applies to all of our directors, officers, and employees, including our principal executive officer, principal financial officer, principal accounting officer or controller, or persons performing similar functions, as well as our contractors, consultants, and agents. The full text of our code of business conduct and ethics is available on the investor relations page on our website at https://www.figure.com. We intend to disclose any amendments to our code of business conduct and ethics, or waivers of its requirements, applicable to our principal executive officer, principal financial officer, principal accounting officer or controller, or persons performing similar functions, on our website identified above, or in filings under the Exchange Act.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remainder of the information required by this Item will be included in the definitive proxy statement to be filed with the SEC with respect to the Company's 2026 Annual Meeting of Stockholders (the “2026 Annual Meeting”) and is incorporated herein by reference.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ITEM 11. EXECUTIVE COMPENSATION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information required by this Item will be included in the definitive proxy statement to be filed with the SEC with respect to the Company’s 2026 Annual Meeting of Stockholders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ITEM 12. SECURITY OWNERSHIP OF CERTAIN BENEFICIAL OWNERS AND MANAGEMENT AND RELATED STOCKHOLDER MATTERS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information required by this Item will be included in the definitive proxy statement to be filed with the SEC with respect to the Company’s 2026 Annual Meeting of Stockholders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ITEM 13. CERTAIN RELATIONSHIPS AND RELATED TRANSACTIONS, AND DIRECTOR INDEPENDENCE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information required by this Item will be included in the definitive proxy statement to be filed with the SEC with respect to the Company’s 2026 Annual Meeting of Stockholders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ITEM 14. PRINCIPAL ACCOUNTANT FEES AND SERVICES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information required by this Item will be included in the definitive proxy statement to be filed with the SEC with respect to the Company’s 2026 Annual Meeting of Stockholders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480175" cy="293370"/>
                <wp:effectExtent l="0" t="0" r="0" b="0"/>
                <wp:wrapNone/>
                <wp:docPr id="187" name="Frame185"/>
                <a:graphic xmlns:a="http://schemas.openxmlformats.org/drawingml/2006/main">
                  <a:graphicData uri="http://schemas.microsoft.com/office/word/2010/wordprocessingShape">
                    <wps:wsp>
                      <wps:cNvSpPr txBox="1"/>
                      <wps:spPr>
                        <a:xfrm>
                          <a:off x="0" y="0"/>
                          <a:ext cx="6480175" cy="293370"/>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185</w:t>
                            </w:r>
                          </w:p>
                          <w:p>
                            <w:pPr>
                              <w:pStyle w:val="TextBody"/>
                              <w:bidi w:val="0"/>
                              <w:spacing w:lineRule="auto" w:line="288" w:before="0" w:after="180"/>
                              <w:jc w:val="left"/>
                              <w:rPr/>
                            </w:pPr>
                            <w:hyperlink w:anchor="i8e13d1b6f3764394b0e424082d2ac79f_151">
                              <w:r>
                                <w:rPr>
                                  <w:rStyle w:val="InternetLink"/>
                                  <w:rFonts w:ascii="Times New Roman;serif" w:hAnsi="Times New Roman;serif"/>
                                  <w:b w:val="false"/>
                                  <w:color w:val="0000FF"/>
                                  <w:sz w:val="20"/>
                                  <w:u w:val="single"/>
                                </w:rPr>
                                <w:t>Table of Contents</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185</w:t>
                      </w:r>
                    </w:p>
                    <w:p>
                      <w:pPr>
                        <w:pStyle w:val="TextBody"/>
                        <w:bidi w:val="0"/>
                        <w:spacing w:lineRule="auto" w:line="288" w:before="0" w:after="180"/>
                        <w:jc w:val="left"/>
                        <w:rPr/>
                      </w:pPr>
                      <w:hyperlink w:anchor="i8e13d1b6f3764394b0e424082d2ac79f_151">
                        <w:r>
                          <w:rPr>
                            <w:rStyle w:val="InternetLink"/>
                            <w:rFonts w:ascii="Times New Roman;serif" w:hAnsi="Times New Roman;serif"/>
                            <w:b w:val="false"/>
                            <w:color w:val="0000FF"/>
                            <w:sz w:val="20"/>
                            <w:u w:val="single"/>
                          </w:rPr>
                          <w:t>Table of Contents</w:t>
                        </w:r>
                      </w:hyperlink>
                    </w:p>
                  </w:txbxContent>
                </v:textbox>
                <w10:wrap type="none"/>
              </v:rect>
            </w:pict>
          </mc:Fallback>
        </mc:AlternateContent>
      </w:r>
    </w:p>
    <w:p>
      <w:pPr>
        <w:pStyle w:val="TextBody"/>
        <w:bidi w:val="0"/>
        <w:spacing w:before="0" w:after="180"/>
        <w:jc w:val="left"/>
        <w:rPr/>
      </w:pPr>
      <w:r>
        <w:rPr/>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15. EXHIBITS AND FINANCIAL STATEMENT SCHEDULES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     The following documents are filed as part of this Report:</w:t>
      </w:r>
    </w:p>
    <w:p>
      <w:pPr>
        <w:pStyle w:val="TextBody"/>
        <w:bidi w:val="0"/>
        <w:spacing w:lineRule="auto" w:line="288" w:before="0" w:after="180"/>
        <w:ind w:left="0" w:right="0" w:hanging="360"/>
        <w:jc w:val="left"/>
        <w:rPr/>
      </w:pPr>
      <w:r>
        <w:rPr>
          <w:rFonts w:ascii="Times New Roman;serif" w:hAnsi="Times New Roman;serif"/>
          <w:b w:val="false"/>
          <w:color w:val="000000"/>
          <w:sz w:val="20"/>
        </w:rPr>
        <w:t>1.</w:t>
      </w:r>
      <w:r>
        <w:rPr>
          <w:rFonts w:ascii="Times New Roman;serif" w:hAnsi="Times New Roman;serif"/>
          <w:b w:val="false"/>
          <w:i/>
          <w:color w:val="000000"/>
          <w:sz w:val="20"/>
        </w:rPr>
        <w:t>Financial statements</w:t>
      </w:r>
      <w:r>
        <w:rPr>
          <w:rFonts w:ascii="Times New Roman;serif" w:hAnsi="Times New Roman;serif"/>
          <w:b w:val="false"/>
          <w:color w:val="000000"/>
          <w:sz w:val="20"/>
        </w:rPr>
        <w:t>: The information concerning the Company’s financial statements, and the Report of KPMG LLP, Independent Registered Public Accounting Firm (PCAOB ID: 185), San Francisco, California, required by this Item is incorporated by reference herein to the section of this Report in Part II, Item 8. entitled “Financial Statements and Supplementary Data”.</w:t>
      </w:r>
    </w:p>
    <w:p>
      <w:pPr>
        <w:pStyle w:val="TextBody"/>
        <w:bidi w:val="0"/>
        <w:spacing w:lineRule="auto" w:line="288" w:before="0" w:after="180"/>
        <w:ind w:left="0" w:right="0" w:hanging="360"/>
        <w:jc w:val="left"/>
        <w:rPr/>
      </w:pPr>
      <w:r>
        <w:rPr>
          <w:rFonts w:ascii="Times New Roman;serif" w:hAnsi="Times New Roman;serif"/>
          <w:b w:val="false"/>
          <w:color w:val="000000"/>
          <w:sz w:val="20"/>
        </w:rPr>
        <w:t>2.</w:t>
      </w:r>
      <w:r>
        <w:rPr>
          <w:rFonts w:ascii="Times New Roman;serif" w:hAnsi="Times New Roman;serif"/>
          <w:b w:val="false"/>
          <w:i/>
          <w:color w:val="000000"/>
          <w:sz w:val="20"/>
        </w:rPr>
        <w:t>Financial Statement Schedules</w:t>
      </w:r>
      <w:r>
        <w:rPr>
          <w:rFonts w:ascii="Times New Roman;serif" w:hAnsi="Times New Roman;serif"/>
          <w:b w:val="false"/>
          <w:color w:val="000000"/>
          <w:sz w:val="20"/>
        </w:rPr>
        <w:t>: Schedules not listed here have been omitted because they are not applicable, not required or the information required to be set forth therein is included in the Consolidated Financial Statements or Notes thereto.</w:t>
      </w:r>
    </w:p>
    <w:p>
      <w:pPr>
        <w:pStyle w:val="TextBody"/>
        <w:bidi w:val="0"/>
        <w:spacing w:lineRule="auto" w:line="288" w:before="0" w:after="180"/>
        <w:ind w:left="0" w:right="0" w:hanging="360"/>
        <w:jc w:val="left"/>
        <w:rPr/>
      </w:pPr>
      <w:r>
        <w:rPr>
          <w:rFonts w:ascii="Times New Roman;serif" w:hAnsi="Times New Roman;serif"/>
          <w:b w:val="false"/>
          <w:color w:val="000000"/>
          <w:sz w:val="20"/>
        </w:rPr>
        <w:t>3.</w:t>
      </w:r>
      <w:r>
        <w:rPr>
          <w:rFonts w:ascii="Times New Roman;serif" w:hAnsi="Times New Roman;serif"/>
          <w:b w:val="false"/>
          <w:i/>
          <w:color w:val="000000"/>
          <w:sz w:val="20"/>
        </w:rPr>
        <w:t>Exhibits</w:t>
      </w:r>
      <w:r>
        <w:rPr>
          <w:rFonts w:ascii="Times New Roman;serif" w:hAnsi="Times New Roman;serif"/>
          <w:b w:val="false"/>
          <w:color w:val="000000"/>
          <w:sz w:val="20"/>
        </w:rPr>
        <w:t>: See Item 15(b) below. We have filed, or incorporated into this Report by reference, the exhibits required by this Item below.</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(b)     Exhibits: We have filed, or incorporated into this Report by reference, the exhibits required by this Item below.</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     Financial Statement Schedules: See Item 15(a) above.</w:t>
      </w:r>
    </w:p>
    <w:tbl>
      <w:tblPr>
        <w:tblW w:w="10205" w:type="dxa"/>
        <w:jc w:val="left"/>
        <w:tblInd w:w="0" w:type="dxa"/>
        <w:tblLayout w:type="fixed"/>
        <w:tblCellMar>
          <w:top w:w="28" w:type="dxa"/>
          <w:left w:w="28" w:type="dxa"/>
          <w:bottom w:w="28" w:type="dxa"/>
          <w:right w:w="28" w:type="dxa"/>
        </w:tblCellMar>
      </w:tblPr>
      <w:tblGrid>
        <w:gridCol w:w="294"/>
        <w:gridCol w:w="258"/>
        <w:gridCol w:w="259"/>
        <w:gridCol w:w="109"/>
        <w:gridCol w:w="109"/>
        <w:gridCol w:w="109"/>
        <w:gridCol w:w="1391"/>
        <w:gridCol w:w="1116"/>
        <w:gridCol w:w="1119"/>
        <w:gridCol w:w="109"/>
        <w:gridCol w:w="109"/>
        <w:gridCol w:w="109"/>
        <w:gridCol w:w="195"/>
        <w:gridCol w:w="195"/>
        <w:gridCol w:w="196"/>
        <w:gridCol w:w="109"/>
        <w:gridCol w:w="109"/>
        <w:gridCol w:w="109"/>
        <w:gridCol w:w="339"/>
        <w:gridCol w:w="274"/>
        <w:gridCol w:w="183"/>
        <w:gridCol w:w="109"/>
        <w:gridCol w:w="109"/>
        <w:gridCol w:w="109"/>
        <w:gridCol w:w="245"/>
        <w:gridCol w:w="245"/>
        <w:gridCol w:w="246"/>
        <w:gridCol w:w="109"/>
        <w:gridCol w:w="109"/>
        <w:gridCol w:w="109"/>
        <w:gridCol w:w="224"/>
        <w:gridCol w:w="224"/>
        <w:gridCol w:w="225"/>
        <w:gridCol w:w="109"/>
        <w:gridCol w:w="109"/>
        <w:gridCol w:w="109"/>
        <w:gridCol w:w="294"/>
        <w:gridCol w:w="294"/>
        <w:gridCol w:w="427"/>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Incorporated by 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Exhibit</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File No.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Exhibit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Filing</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Filed/</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Furnished</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Herewith</w:t>
            </w:r>
          </w:p>
        </w:tc>
      </w:tr>
      <w:tr>
        <w:trPr/>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80"/>
                  <w:sz w:val="20"/>
                  <w:u w:val="single"/>
                </w:rPr>
                <w:t xml:space="preserve">Second Amended and Restated </w:t>
              </w:r>
            </w:hyperlink>
            <w:hyperlink r:id="rId5">
              <w:r>
                <w:rPr>
                  <w:rStyle w:val="InternetLink"/>
                  <w:rFonts w:ascii="Times New Roman;serif" w:hAnsi="Times New Roman;serif"/>
                  <w:b w:val="false"/>
                  <w:color w:val="000080"/>
                  <w:sz w:val="20"/>
                  <w:u w:val="single"/>
                </w:rPr>
                <w:t>Articles</w:t>
              </w:r>
            </w:hyperlink>
            <w:hyperlink r:id="rId6">
              <w:r>
                <w:rPr>
                  <w:rStyle w:val="InternetLink"/>
                  <w:rFonts w:ascii="Times New Roman;serif" w:hAnsi="Times New Roman;serif"/>
                  <w:b w:val="false"/>
                  <w:color w:val="000080"/>
                  <w:sz w:val="20"/>
                  <w:u w:val="single"/>
                </w:rPr>
                <w:t xml:space="preserve"> of Incorporation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001-42829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9/12/2025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erif" w:hAnsi="Times New Roman;serif"/>
                  <w:b w:val="false"/>
                  <w:color w:val="000000"/>
                  <w:sz w:val="20"/>
                  <w:u w:val="single"/>
                </w:rPr>
                <w:t>Amended and Restated Bylaws</w:t>
              </w:r>
            </w:hyperlink>
            <w:r>
              <w:rPr>
                <w:color w:val="000000"/>
              </w:rPr>
              <w:t xml:space="preserve"> </w:t>
            </w:r>
            <w:r>
              <w:rPr>
                <w:rFonts w:ascii="Times New Roman;serif" w:hAnsi="Times New Roman;serif"/>
                <w:b w:val="false"/>
                <w:color w:val="000000"/>
                <w:sz w:val="20"/>
              </w:rPr>
              <w:t>of Figure Technology Solutions, Inc.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001-42829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9/12/2025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erif" w:hAnsi="Times New Roman;serif"/>
                  <w:b w:val="false"/>
                  <w:color w:val="000000"/>
                  <w:sz w:val="20"/>
                  <w:u w:val="single"/>
                </w:rPr>
                <w:t>Form of Class A Common Stock Certificate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333-289695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9/2/2025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erif" w:hAnsi="Times New Roman;serif"/>
                  <w:b w:val="false"/>
                  <w:color w:val="000000"/>
                  <w:sz w:val="20"/>
                  <w:u w:val="single"/>
                </w:rPr>
                <w:t>Form of Class B Common Stock Certificate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333-289695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9/2/2025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erif" w:hAnsi="Times New Roman;serif"/>
                  <w:b w:val="false"/>
                  <w:color w:val="000000"/>
                  <w:sz w:val="20"/>
                  <w:u w:val="single"/>
                </w:rPr>
                <w:t>Assignment, Assumption and Amendment Agreement, dated as of August 29, 2025, by and among FT Intermediate, Inc., Figure Markets Holdings, Inc. and J. Digital 6 Cayman Ltd.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333-289695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9/8/2025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Times New Roman;serif" w:hAnsi="Times New Roman;serif"/>
                  <w:b w:val="false"/>
                  <w:color w:val="000000"/>
                  <w:sz w:val="20"/>
                  <w:u w:val="single"/>
                </w:rPr>
                <w:t>Form of Certificate of Designation for the Series A Blockchain Common Stock</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333-291591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2/11/2026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45descriptionofstock.htm">
              <w:r>
                <w:rPr>
                  <w:rStyle w:val="InternetLink"/>
                  <w:rFonts w:ascii="Times New Roman;serif" w:hAnsi="Times New Roman;serif"/>
                  <w:b w:val="false"/>
                  <w:color w:val="000080"/>
                  <w:sz w:val="20"/>
                  <w:u w:val="single"/>
                </w:rPr>
                <w:t>D</w:t>
              </w:r>
            </w:hyperlink>
            <w:hyperlink w:anchor="ex45descriptionofstock.htm">
              <w:r>
                <w:rPr>
                  <w:rStyle w:val="InternetLink"/>
                  <w:rFonts w:ascii="Times New Roman;serif" w:hAnsi="Times New Roman;serif"/>
                  <w:b w:val="false"/>
                  <w:color w:val="000080"/>
                  <w:sz w:val="20"/>
                  <w:u w:val="single"/>
                </w:rPr>
                <w:t xml:space="preserve">escription of Securities </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Times New Roman;serif" w:hAnsi="Times New Roman;serif"/>
                  <w:b w:val="false"/>
                  <w:color w:val="000000"/>
                  <w:sz w:val="20"/>
                  <w:u w:val="single"/>
                </w:rPr>
                <w:t>Form of Director and Executive Officer Indemnification and Advancement Agreement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333-289695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8/25/2025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Times New Roman;serif" w:hAnsi="Times New Roman;serif"/>
                  <w:b w:val="false"/>
                  <w:color w:val="000000"/>
                  <w:sz w:val="20"/>
                  <w:u w:val="single"/>
                </w:rPr>
                <w:t>2018 Equity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333-289695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8/25/2025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Times New Roman;serif" w:hAnsi="Times New Roman;serif"/>
                  <w:b w:val="false"/>
                  <w:color w:val="000000"/>
                  <w:sz w:val="20"/>
                  <w:u w:val="single"/>
                </w:rPr>
                <w:t>Form of Restricted Stock Unit Grant Notice and Agreement under the 2018 Equity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333-289695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8/25/2025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Times New Roman;serif" w:hAnsi="Times New Roman;serif"/>
                  <w:b w:val="false"/>
                  <w:color w:val="000000"/>
                  <w:sz w:val="20"/>
                  <w:u w:val="single"/>
                </w:rPr>
                <w:t>Form of Stock Option Grant Notice and Agreement under the 2018 Equity Incentive Award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333-289695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8/25/2025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Times New Roman;serif" w:hAnsi="Times New Roman;serif"/>
                  <w:b w:val="false"/>
                  <w:color w:val="000000"/>
                  <w:sz w:val="20"/>
                  <w:u w:val="single"/>
                </w:rPr>
                <w:t>Figure Markets Holdings, Inc. 2024 Equity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333-289695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9/02/2025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7">
              <w:r>
                <w:rPr>
                  <w:rStyle w:val="InternetLink"/>
                  <w:rFonts w:ascii="Times New Roman;serif" w:hAnsi="Times New Roman;serif"/>
                  <w:b w:val="false"/>
                  <w:color w:val="000000"/>
                  <w:sz w:val="20"/>
                  <w:u w:val="single"/>
                </w:rPr>
                <w:t>Form of Stock Option Grant Notice and Agreement under the Figure Markets Holdings, Inc. 2024 Equity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333-289695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9/10/2025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8">
              <w:r>
                <w:rPr>
                  <w:rStyle w:val="InternetLink"/>
                  <w:rFonts w:ascii="Times New Roman;serif" w:hAnsi="Times New Roman;serif"/>
                  <w:b w:val="false"/>
                  <w:color w:val="000000"/>
                  <w:sz w:val="20"/>
                  <w:u w:val="single"/>
                </w:rPr>
                <w:t>2025 Incentive Award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333-290240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9/12/2025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9">
              <w:r>
                <w:rPr>
                  <w:rStyle w:val="InternetLink"/>
                  <w:rFonts w:ascii="Times New Roman;serif" w:hAnsi="Times New Roman;serif"/>
                  <w:b w:val="false"/>
                  <w:color w:val="000000"/>
                  <w:sz w:val="20"/>
                  <w:u w:val="single"/>
                </w:rPr>
                <w:t>Form of Restricted Stock Unit Grant Notice and Agreement under the 2025 Incentive Award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333-289695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8/25/2025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0">
              <w:r>
                <w:rPr>
                  <w:rStyle w:val="InternetLink"/>
                  <w:rFonts w:ascii="Times New Roman;serif" w:hAnsi="Times New Roman;serif"/>
                  <w:b w:val="false"/>
                  <w:color w:val="000000"/>
                  <w:sz w:val="20"/>
                  <w:u w:val="single"/>
                </w:rPr>
                <w:t>Form of Stock Option Grant Notice and Agreement under the 2025 Incentive Award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333-289695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8/25/2025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480175" cy="293370"/>
                <wp:effectExtent l="0" t="0" r="0" b="0"/>
                <wp:wrapNone/>
                <wp:docPr id="188" name="Frame186"/>
                <a:graphic xmlns:a="http://schemas.openxmlformats.org/drawingml/2006/main">
                  <a:graphicData uri="http://schemas.microsoft.com/office/word/2010/wordprocessingShape">
                    <wps:wsp>
                      <wps:cNvSpPr txBox="1"/>
                      <wps:spPr>
                        <a:xfrm>
                          <a:off x="0" y="0"/>
                          <a:ext cx="6480175" cy="293370"/>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186</w:t>
                            </w:r>
                          </w:p>
                          <w:p>
                            <w:pPr>
                              <w:pStyle w:val="TextBody"/>
                              <w:bidi w:val="0"/>
                              <w:spacing w:lineRule="auto" w:line="288" w:before="0" w:after="180"/>
                              <w:jc w:val="left"/>
                              <w:rPr/>
                            </w:pPr>
                            <w:hyperlink w:anchor="i8e13d1b6f3764394b0e424082d2ac79f_151">
                              <w:r>
                                <w:rPr>
                                  <w:rStyle w:val="InternetLink"/>
                                  <w:rFonts w:ascii="Times New Roman;serif" w:hAnsi="Times New Roman;serif"/>
                                  <w:b w:val="false"/>
                                  <w:color w:val="0000FF"/>
                                  <w:sz w:val="20"/>
                                  <w:u w:val="single"/>
                                </w:rPr>
                                <w:t>Table of Contents</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186</w:t>
                      </w:r>
                    </w:p>
                    <w:p>
                      <w:pPr>
                        <w:pStyle w:val="TextBody"/>
                        <w:bidi w:val="0"/>
                        <w:spacing w:lineRule="auto" w:line="288" w:before="0" w:after="180"/>
                        <w:jc w:val="left"/>
                        <w:rPr/>
                      </w:pPr>
                      <w:hyperlink w:anchor="i8e13d1b6f3764394b0e424082d2ac79f_151">
                        <w:r>
                          <w:rPr>
                            <w:rStyle w:val="InternetLink"/>
                            <w:rFonts w:ascii="Times New Roman;serif" w:hAnsi="Times New Roman;serif"/>
                            <w:b w:val="false"/>
                            <w:color w:val="0000FF"/>
                            <w:sz w:val="20"/>
                            <w:u w:val="single"/>
                          </w:rPr>
                          <w:t>Table of Contents</w:t>
                        </w:r>
                      </w:hyperlink>
                    </w:p>
                  </w:txbxContent>
                </v:textbox>
                <w10:wrap type="none"/>
              </v:rect>
            </w:pict>
          </mc:Fallback>
        </mc:AlternateContent>
      </w:r>
    </w:p>
    <w:p>
      <w:pPr>
        <w:pStyle w:val="TextBody"/>
        <w:bidi w:val="0"/>
        <w:spacing w:before="0" w:after="180"/>
        <w:jc w:val="left"/>
        <w:rPr/>
      </w:pPr>
      <w:r>
        <w:rPr/>
      </w:r>
    </w:p>
    <w:tbl>
      <w:tblPr>
        <w:tblW w:w="10205" w:type="dxa"/>
        <w:jc w:val="left"/>
        <w:tblInd w:w="0" w:type="dxa"/>
        <w:tblLayout w:type="fixed"/>
        <w:tblCellMar>
          <w:top w:w="28" w:type="dxa"/>
          <w:left w:w="28" w:type="dxa"/>
          <w:bottom w:w="28" w:type="dxa"/>
          <w:right w:w="28" w:type="dxa"/>
        </w:tblCellMar>
      </w:tblPr>
      <w:tblGrid>
        <w:gridCol w:w="234"/>
        <w:gridCol w:w="205"/>
        <w:gridCol w:w="207"/>
        <w:gridCol w:w="109"/>
        <w:gridCol w:w="109"/>
        <w:gridCol w:w="109"/>
        <w:gridCol w:w="1664"/>
        <w:gridCol w:w="1488"/>
        <w:gridCol w:w="1491"/>
        <w:gridCol w:w="109"/>
        <w:gridCol w:w="109"/>
        <w:gridCol w:w="109"/>
        <w:gridCol w:w="197"/>
        <w:gridCol w:w="197"/>
        <w:gridCol w:w="174"/>
        <w:gridCol w:w="109"/>
        <w:gridCol w:w="109"/>
        <w:gridCol w:w="109"/>
        <w:gridCol w:w="272"/>
        <w:gridCol w:w="272"/>
        <w:gridCol w:w="273"/>
        <w:gridCol w:w="109"/>
        <w:gridCol w:w="109"/>
        <w:gridCol w:w="109"/>
        <w:gridCol w:w="189"/>
        <w:gridCol w:w="189"/>
        <w:gridCol w:w="193"/>
        <w:gridCol w:w="109"/>
        <w:gridCol w:w="109"/>
        <w:gridCol w:w="109"/>
        <w:gridCol w:w="206"/>
        <w:gridCol w:w="206"/>
        <w:gridCol w:w="207"/>
        <w:gridCol w:w="109"/>
        <w:gridCol w:w="109"/>
        <w:gridCol w:w="109"/>
        <w:gridCol w:w="109"/>
        <w:gridCol w:w="109"/>
        <w:gridCol w:w="161"/>
      </w:tblGrid>
      <w:tr>
        <w:trPr/>
        <w:tc>
          <w:tcPr>
            <w:tcW w:w="23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1488" w:type="dxa"/>
            <w:tcBorders/>
            <w:vAlign w:val="center"/>
          </w:tcPr>
          <w:p>
            <w:pPr>
              <w:pStyle w:val="TableContents"/>
              <w:bidi w:val="0"/>
              <w:spacing w:before="0" w:after="283"/>
              <w:jc w:val="left"/>
              <w:rPr>
                <w:sz w:val="4"/>
                <w:szCs w:val="4"/>
              </w:rPr>
            </w:pPr>
            <w:r>
              <w:rPr>
                <w:sz w:val="4"/>
                <w:szCs w:val="4"/>
              </w:rPr>
            </w:r>
          </w:p>
        </w:tc>
        <w:tc>
          <w:tcPr>
            <w:tcW w:w="1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1">
              <w:r>
                <w:rPr>
                  <w:rStyle w:val="InternetLink"/>
                  <w:rFonts w:ascii="Times New Roman;serif" w:hAnsi="Times New Roman;serif"/>
                  <w:b w:val="false"/>
                  <w:color w:val="000000"/>
                  <w:sz w:val="20"/>
                  <w:u w:val="single"/>
                </w:rPr>
                <w:t>Retention Performance Stock Unit Grant Notice and Agreement under the 2025 Incentive Award Plan, by and between Figure Technology Solutions, Inc. and Michael Cagney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333-290240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9/12/2025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2">
              <w:r>
                <w:rPr>
                  <w:rStyle w:val="InternetLink"/>
                  <w:rFonts w:ascii="Times New Roman;serif" w:hAnsi="Times New Roman;serif"/>
                  <w:b w:val="false"/>
                  <w:color w:val="000000"/>
                  <w:sz w:val="20"/>
                  <w:u w:val="single"/>
                </w:rPr>
                <w:t>Employee Stock Purchase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333-289695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8/25/2025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3">
              <w:r>
                <w:rPr>
                  <w:rStyle w:val="InternetLink"/>
                  <w:rFonts w:ascii="Times New Roman;serif" w:hAnsi="Times New Roman;serif"/>
                  <w:b w:val="false"/>
                  <w:color w:val="000000"/>
                  <w:sz w:val="20"/>
                  <w:u w:val="single"/>
                </w:rPr>
                <w:t>Non-Employee Director Compensation Policy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333-289695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8/25/2025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10.13^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4">
              <w:r>
                <w:rPr>
                  <w:rStyle w:val="InternetLink"/>
                  <w:rFonts w:ascii="Times New Roman;serif" w:hAnsi="Times New Roman;serif"/>
                  <w:b w:val="false"/>
                  <w:color w:val="000080"/>
                  <w:sz w:val="20"/>
                  <w:u w:val="single"/>
                </w:rPr>
                <w:t>Seventh Amended and Restated Investors’ Rights Agreement, dated August 29, 2025</w:t>
              </w:r>
            </w:hyperlink>
            <w:hyperlink r:id="rId25">
              <w:r>
                <w:rPr>
                  <w:rStyle w:val="InternetLink"/>
                  <w:rFonts w:ascii="Times New Roman;serif" w:hAnsi="Times New Roman;serif"/>
                  <w:b w:val="false"/>
                  <w:color w:val="000080"/>
                  <w:sz w:val="20"/>
                  <w:u w:val="single"/>
                </w:rPr>
                <w:t xml:space="preserve">, among </w:t>
              </w:r>
            </w:hyperlink>
            <w:hyperlink r:id="rId26">
              <w:r>
                <w:rPr>
                  <w:rStyle w:val="InternetLink"/>
                  <w:rFonts w:ascii="Times New Roman;serif" w:hAnsi="Times New Roman;serif"/>
                  <w:b w:val="false"/>
                  <w:color w:val="000080"/>
                  <w:sz w:val="20"/>
                  <w:u w:val="single"/>
                </w:rPr>
                <w:t>Figure Technology Solutions, Inc.</w:t>
              </w:r>
            </w:hyperlink>
            <w:hyperlink r:id="rId27">
              <w:r>
                <w:rPr>
                  <w:rStyle w:val="InternetLink"/>
                  <w:rFonts w:ascii="Times New Roman;serif" w:hAnsi="Times New Roman;serif"/>
                  <w:b w:val="false"/>
                  <w:color w:val="000080"/>
                  <w:sz w:val="20"/>
                  <w:u w:val="single"/>
                </w:rPr>
                <w:t xml:space="preserve"> and the investors party thereto.</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333-289695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9/2/2025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r:id="rId28">
              <w:r>
                <w:rPr>
                  <w:rStyle w:val="InternetLink"/>
                  <w:rFonts w:ascii="Times New Roman;serif" w:hAnsi="Times New Roman;serif"/>
                  <w:b w:val="false"/>
                  <w:color w:val="000000"/>
                  <w:sz w:val="20"/>
                  <w:u w:val="single"/>
                </w:rPr>
                <w:t>10.</w:t>
              </w:r>
            </w:hyperlink>
            <w:r>
              <w:rPr>
                <w:rFonts w:ascii="Times New Roman;serif" w:hAnsi="Times New Roman;serif"/>
                <w:b w:val="false"/>
                <w:color w:val="000000"/>
                <w:sz w:val="20"/>
              </w:rPr>
              <w:t>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9">
              <w:r>
                <w:rPr>
                  <w:rStyle w:val="InternetLink"/>
                  <w:rFonts w:ascii="Times New Roman;serif" w:hAnsi="Times New Roman;serif"/>
                  <w:b w:val="false"/>
                  <w:color w:val="000080"/>
                  <w:sz w:val="20"/>
                  <w:u w:val="single"/>
                </w:rPr>
                <w:t xml:space="preserve">Side Letter, dated September 8, 2025, by and among </w:t>
              </w:r>
            </w:hyperlink>
            <w:hyperlink r:id="rId30">
              <w:r>
                <w:rPr>
                  <w:rStyle w:val="InternetLink"/>
                  <w:rFonts w:ascii="Times New Roman;serif" w:hAnsi="Times New Roman;serif"/>
                  <w:b w:val="false"/>
                  <w:color w:val="000080"/>
                  <w:sz w:val="20"/>
                  <w:u w:val="single"/>
                </w:rPr>
                <w:t>Figure Lending LLC</w:t>
              </w:r>
            </w:hyperlink>
            <w:hyperlink r:id="rId31">
              <w:r>
                <w:rPr>
                  <w:rStyle w:val="InternetLink"/>
                  <w:rFonts w:ascii="Times New Roman;serif" w:hAnsi="Times New Roman;serif"/>
                  <w:b w:val="false"/>
                  <w:color w:val="000080"/>
                  <w:sz w:val="20"/>
                  <w:u w:val="single"/>
                </w:rPr>
                <w:t xml:space="preserve">, </w:t>
              </w:r>
            </w:hyperlink>
            <w:hyperlink r:id="rId32">
              <w:r>
                <w:rPr>
                  <w:rStyle w:val="InternetLink"/>
                  <w:rFonts w:ascii="Times New Roman;serif" w:hAnsi="Times New Roman;serif"/>
                  <w:b w:val="false"/>
                  <w:color w:val="000080"/>
                  <w:sz w:val="20"/>
                  <w:u w:val="single"/>
                </w:rPr>
                <w:t>Figure Lending Corp.</w:t>
              </w:r>
            </w:hyperlink>
            <w:hyperlink r:id="rId33">
              <w:r>
                <w:rPr>
                  <w:rStyle w:val="InternetLink"/>
                  <w:rFonts w:ascii="Times New Roman;serif" w:hAnsi="Times New Roman;serif"/>
                  <w:b w:val="false"/>
                  <w:color w:val="000080"/>
                  <w:sz w:val="20"/>
                  <w:u w:val="single"/>
                </w:rPr>
                <w:t xml:space="preserve">, </w:t>
              </w:r>
            </w:hyperlink>
            <w:hyperlink r:id="rId34">
              <w:r>
                <w:rPr>
                  <w:rStyle w:val="InternetLink"/>
                  <w:rFonts w:ascii="Times New Roman;serif" w:hAnsi="Times New Roman;serif"/>
                  <w:b w:val="false"/>
                  <w:color w:val="000080"/>
                  <w:sz w:val="20"/>
                  <w:u w:val="single"/>
                </w:rPr>
                <w:t>Fig SIX Mortgage, LLC</w:t>
              </w:r>
            </w:hyperlink>
            <w:hyperlink r:id="rId35">
              <w:r>
                <w:rPr>
                  <w:rStyle w:val="InternetLink"/>
                  <w:rFonts w:ascii="Times New Roman;serif" w:hAnsi="Times New Roman;serif"/>
                  <w:b w:val="false"/>
                  <w:color w:val="000080"/>
                  <w:sz w:val="20"/>
                  <w:u w:val="single"/>
                </w:rPr>
                <w:t xml:space="preserve">, </w:t>
              </w:r>
            </w:hyperlink>
            <w:hyperlink r:id="rId36">
              <w:r>
                <w:rPr>
                  <w:rStyle w:val="InternetLink"/>
                  <w:rFonts w:ascii="Times New Roman;serif" w:hAnsi="Times New Roman;serif"/>
                  <w:b w:val="false"/>
                  <w:color w:val="000080"/>
                  <w:sz w:val="20"/>
                  <w:u w:val="single"/>
                </w:rPr>
                <w:t>Fig SSP Member LLC</w:t>
              </w:r>
            </w:hyperlink>
            <w:hyperlink r:id="rId37">
              <w:r>
                <w:rPr>
                  <w:rStyle w:val="InternetLink"/>
                  <w:rFonts w:ascii="Times New Roman;serif" w:hAnsi="Times New Roman;serif"/>
                  <w:b w:val="false"/>
                  <w:color w:val="000080"/>
                  <w:sz w:val="20"/>
                  <w:u w:val="single"/>
                </w:rPr>
                <w:t xml:space="preserve"> and the Purchaser party thereto</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333-289695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9/10/2025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8">
              <w:r>
                <w:rPr>
                  <w:rStyle w:val="InternetLink"/>
                  <w:rFonts w:ascii="Times New Roman;serif" w:hAnsi="Times New Roman;serif"/>
                  <w:b w:val="false"/>
                  <w:color w:val="000000"/>
                  <w:sz w:val="20"/>
                  <w:u w:val="single"/>
                </w:rPr>
                <w:t>Amended and Restated Limited Liability Company Agreement of Fig Six Mortgage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DRS/A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377-07992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8/04/2025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9">
              <w:r>
                <w:rPr>
                  <w:rStyle w:val="InternetLink"/>
                  <w:rFonts w:ascii="Times New Roman;serif" w:hAnsi="Times New Roman;serif"/>
                  <w:b w:val="false"/>
                  <w:color w:val="000000"/>
                  <w:sz w:val="20"/>
                  <w:u w:val="single"/>
                </w:rPr>
                <w:t>Second Amended and Restated Term Note issued by Provenance Blockchain Foundation Inc. in favor of Figure Technologies,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DRS/A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377-07992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8/04/2025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0">
              <w:r>
                <w:rPr>
                  <w:rStyle w:val="InternetLink"/>
                  <w:rFonts w:ascii="Times New Roman;serif" w:hAnsi="Times New Roman;serif"/>
                  <w:b w:val="false"/>
                  <w:color w:val="000000"/>
                  <w:sz w:val="20"/>
                  <w:u w:val="single"/>
                </w:rPr>
                <w:t>Contribution Agreement, dated December 31, 2023, between Figure Lending Corp. and Figure Technologies, Inc., as amended on April 9, 2024.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333-289695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10.60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8/18/2025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1">
              <w:r>
                <w:rPr>
                  <w:rStyle w:val="InternetLink"/>
                  <w:rFonts w:ascii="Times New Roman;serif" w:hAnsi="Times New Roman;serif"/>
                  <w:b w:val="false"/>
                  <w:color w:val="000000"/>
                  <w:sz w:val="20"/>
                  <w:u w:val="single"/>
                </w:rPr>
                <w:t>Contribution Agreement, dated March 18, 2024, between Figure Lending Corp. and Figure Technologies,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333-289695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10.70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8/18/2025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2">
              <w:r>
                <w:rPr>
                  <w:rStyle w:val="InternetLink"/>
                  <w:rFonts w:ascii="Times New Roman;serif" w:hAnsi="Times New Roman;serif"/>
                  <w:b w:val="false"/>
                  <w:color w:val="000000"/>
                  <w:sz w:val="20"/>
                  <w:u w:val="single"/>
                </w:rPr>
                <w:t>Master Custody Service Agreement, dated March 11, 2022, by and among Anchorage Digital Bank N.A. and Figure Lending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333-289695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8/18/2025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3">
              <w:r>
                <w:rPr>
                  <w:rStyle w:val="InternetLink"/>
                  <w:rFonts w:ascii="Times New Roman;serif" w:hAnsi="Times New Roman;serif"/>
                  <w:b w:val="false"/>
                  <w:color w:val="000000"/>
                  <w:sz w:val="20"/>
                  <w:u w:val="single"/>
                </w:rPr>
                <w:t>First Amendment to the Master Custody Service Agreement, dated January 4, 2024, by and among Anchorage Digital Bank N.A. and Figure Lending LLC, Figure Markets Credit LLC and FMC LFV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333-289695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8/18/2025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21compensationagr.htm">
              <w:r>
                <w:rPr>
                  <w:rStyle w:val="InternetLink"/>
                  <w:rFonts w:ascii="Times New Roman;serif" w:hAnsi="Times New Roman;serif"/>
                  <w:b w:val="false"/>
                  <w:color w:val="000080"/>
                  <w:sz w:val="20"/>
                  <w:u w:val="single"/>
                </w:rPr>
                <w:t>M</w:t>
              </w:r>
            </w:hyperlink>
            <w:hyperlink w:anchor="exhibit1021compensationagr.htm">
              <w:r>
                <w:rPr>
                  <w:rStyle w:val="InternetLink"/>
                  <w:rFonts w:ascii="Times New Roman;serif" w:hAnsi="Times New Roman;serif"/>
                  <w:b w:val="false"/>
                  <w:color w:val="000080"/>
                  <w:sz w:val="20"/>
                  <w:u w:val="single"/>
                </w:rPr>
                <w:t>ichael Tannenbaum Compensation Agreement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4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22compensationagr.htm">
              <w:r>
                <w:rPr>
                  <w:rStyle w:val="InternetLink"/>
                  <w:rFonts w:ascii="Times New Roman;serif" w:hAnsi="Times New Roman;serif"/>
                  <w:b w:val="false"/>
                  <w:color w:val="000080"/>
                  <w:sz w:val="20"/>
                  <w:u w:val="single"/>
                </w:rPr>
                <w:t>M</w:t>
              </w:r>
            </w:hyperlink>
            <w:hyperlink w:anchor="exhibit1022compensationagr.htm">
              <w:r>
                <w:rPr>
                  <w:rStyle w:val="InternetLink"/>
                  <w:rFonts w:ascii="Times New Roman;serif" w:hAnsi="Times New Roman;serif"/>
                  <w:b w:val="false"/>
                  <w:color w:val="000080"/>
                  <w:sz w:val="20"/>
                  <w:u w:val="single"/>
                </w:rPr>
                <w:t>inch</w:t>
              </w:r>
            </w:hyperlink>
            <w:hyperlink w:anchor="exhibit1022compensationagr.htm">
              <w:r>
                <w:rPr>
                  <w:rStyle w:val="InternetLink"/>
                  <w:rFonts w:ascii="Times New Roman;serif" w:hAnsi="Times New Roman;serif"/>
                  <w:b w:val="false"/>
                  <w:color w:val="000080"/>
                  <w:sz w:val="20"/>
                  <w:u w:val="single"/>
                </w:rPr>
                <w:t>u</w:t>
              </w:r>
            </w:hyperlink>
            <w:hyperlink w:anchor="exhibit1022compensationagr.htm">
              <w:r>
                <w:rPr>
                  <w:rStyle w:val="InternetLink"/>
                  <w:rFonts w:ascii="Times New Roman;serif" w:hAnsi="Times New Roman;serif"/>
                  <w:b w:val="false"/>
                  <w:color w:val="000080"/>
                  <w:sz w:val="20"/>
                  <w:u w:val="single"/>
                </w:rPr>
                <w:t>ng</w:t>
              </w:r>
            </w:hyperlink>
            <w:hyperlink w:anchor="exhibit1022compensationagr.htm">
              <w:r>
                <w:rPr>
                  <w:rStyle w:val="InternetLink"/>
                  <w:rFonts w:ascii="Times New Roman;serif" w:hAnsi="Times New Roman;serif"/>
                  <w:b w:val="false"/>
                  <w:color w:val="000080"/>
                  <w:sz w:val="20"/>
                  <w:u w:val="single"/>
                </w:rPr>
                <w:t xml:space="preserve"> Kgil Comp</w:t>
              </w:r>
            </w:hyperlink>
            <w:hyperlink w:anchor="exhibit1022compensationagr.htm">
              <w:r>
                <w:rPr>
                  <w:rStyle w:val="InternetLink"/>
                  <w:rFonts w:ascii="Times New Roman;serif" w:hAnsi="Times New Roman;serif"/>
                  <w:b w:val="false"/>
                  <w:color w:val="000080"/>
                  <w:sz w:val="20"/>
                  <w:u w:val="single"/>
                </w:rPr>
                <w:t>ensation Agreement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4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23compensationagr.htm">
              <w:r>
                <w:rPr>
                  <w:rStyle w:val="InternetLink"/>
                  <w:rFonts w:ascii="Times New Roman;serif" w:hAnsi="Times New Roman;serif"/>
                  <w:b w:val="false"/>
                  <w:color w:val="000080"/>
                  <w:sz w:val="20"/>
                  <w:u w:val="single"/>
                </w:rPr>
                <w:t>T</w:t>
              </w:r>
            </w:hyperlink>
            <w:hyperlink w:anchor="exhibit1023compensationagr.htm">
              <w:r>
                <w:rPr>
                  <w:rStyle w:val="InternetLink"/>
                  <w:rFonts w:ascii="Times New Roman;serif" w:hAnsi="Times New Roman;serif"/>
                  <w:b w:val="false"/>
                  <w:color w:val="000080"/>
                  <w:sz w:val="20"/>
                  <w:u w:val="single"/>
                </w:rPr>
                <w:t>odd Stevens Compensation Agreement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4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81preferabilitylet.htm">
              <w:r>
                <w:rPr>
                  <w:rStyle w:val="InternetLink"/>
                  <w:rFonts w:ascii="Times New Roman;serif" w:hAnsi="Times New Roman;serif"/>
                  <w:b w:val="false"/>
                  <w:color w:val="000000"/>
                  <w:sz w:val="20"/>
                  <w:u w:val="single"/>
                  <w:shd w:fill="FFFFFF" w:val="clear"/>
                </w:rPr>
                <w:t>Preferability Letter of KPMG LLP Regarding Change in Accounting Principle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4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191insidertradingpolicy.htm">
              <w:r>
                <w:rPr>
                  <w:rStyle w:val="InternetLink"/>
                  <w:rFonts w:ascii="Times New Roman;serif" w:hAnsi="Times New Roman;serif"/>
                  <w:b w:val="false"/>
                  <w:color w:val="000000"/>
                  <w:sz w:val="20"/>
                  <w:u w:val="single"/>
                </w:rPr>
                <w:t>Figure Technology Solutions, Inc. Insider Trading Compliance Policy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4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211subsidiarylist-f.htm">
              <w:r>
                <w:rPr>
                  <w:rStyle w:val="InternetLink"/>
                  <w:rFonts w:ascii="Times New Roman;serif" w:hAnsi="Times New Roman;serif"/>
                  <w:b w:val="false"/>
                  <w:color w:val="000000"/>
                  <w:sz w:val="20"/>
                  <w:u w:val="single"/>
                </w:rPr>
                <w:t>List of Subsidiaries of Figure Technology Solutions,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4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231consentofindepen.htm">
              <w:r>
                <w:rPr>
                  <w:rStyle w:val="InternetLink"/>
                  <w:rFonts w:ascii="Times New Roman;serif" w:hAnsi="Times New Roman;serif"/>
                  <w:b w:val="false"/>
                  <w:color w:val="000000"/>
                  <w:sz w:val="20"/>
                  <w:u w:val="single"/>
                </w:rPr>
                <w:t>Consent of KPMG LLP, Independent Registered Public Accounting Firm</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4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14q25.htm">
              <w:r>
                <w:rPr>
                  <w:rStyle w:val="InternetLink"/>
                  <w:rFonts w:ascii="Times New Roman;serif" w:hAnsi="Times New Roman;serif"/>
                  <w:b w:val="false"/>
                  <w:color w:val="000000"/>
                  <w:sz w:val="20"/>
                  <w:u w:val="single"/>
                </w:rPr>
                <w:t>Rule 13a-14(a)/15d-14(a) Certification of Chief Executive Officer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4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24q25.htm">
              <w:r>
                <w:rPr>
                  <w:rStyle w:val="InternetLink"/>
                  <w:rFonts w:ascii="Times New Roman;serif" w:hAnsi="Times New Roman;serif"/>
                  <w:b w:val="false"/>
                  <w:color w:val="000000"/>
                  <w:sz w:val="20"/>
                  <w:u w:val="single"/>
                </w:rPr>
                <w:t>Rule 13a-14(a)/15d-14(a) Certification of Chief Financial Officer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4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14q25.htm">
              <w:r>
                <w:rPr>
                  <w:rStyle w:val="InternetLink"/>
                  <w:rFonts w:ascii="Times New Roman;serif" w:hAnsi="Times New Roman;serif"/>
                  <w:b w:val="false"/>
                  <w:color w:val="000000"/>
                  <w:sz w:val="20"/>
                  <w:u w:val="single"/>
                </w:rPr>
                <w:t>Section 1350 Certification of Chief Executive Officer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4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24q25.htm">
              <w:r>
                <w:rPr>
                  <w:rStyle w:val="InternetLink"/>
                  <w:rFonts w:ascii="Times New Roman;serif" w:hAnsi="Times New Roman;serif"/>
                  <w:b w:val="false"/>
                  <w:color w:val="000000"/>
                  <w:sz w:val="20"/>
                  <w:u w:val="single"/>
                </w:rPr>
                <w:t>Section 1350 Certification of Chief Financial Officer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971clawbackpolicy.htm">
              <w:r>
                <w:rPr>
                  <w:rStyle w:val="InternetLink"/>
                  <w:rFonts w:ascii="Times New Roman;serif" w:hAnsi="Times New Roman;serif"/>
                  <w:b w:val="false"/>
                  <w:color w:val="000000"/>
                  <w:sz w:val="20"/>
                  <w:u w:val="single"/>
                </w:rPr>
                <w:t>Policy for Recovery of Erroneously Awarded Compensation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4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4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4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480175" cy="293370"/>
                <wp:effectExtent l="0" t="0" r="0" b="0"/>
                <wp:wrapNone/>
                <wp:docPr id="189" name="Frame187"/>
                <a:graphic xmlns:a="http://schemas.openxmlformats.org/drawingml/2006/main">
                  <a:graphicData uri="http://schemas.microsoft.com/office/word/2010/wordprocessingShape">
                    <wps:wsp>
                      <wps:cNvSpPr txBox="1"/>
                      <wps:spPr>
                        <a:xfrm>
                          <a:off x="0" y="0"/>
                          <a:ext cx="6480175" cy="293370"/>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187</w:t>
                            </w:r>
                          </w:p>
                          <w:p>
                            <w:pPr>
                              <w:pStyle w:val="TextBody"/>
                              <w:bidi w:val="0"/>
                              <w:spacing w:lineRule="auto" w:line="288" w:before="0" w:after="180"/>
                              <w:jc w:val="left"/>
                              <w:rPr/>
                            </w:pPr>
                            <w:hyperlink w:anchor="i8e13d1b6f3764394b0e424082d2ac79f_151">
                              <w:r>
                                <w:rPr>
                                  <w:rStyle w:val="InternetLink"/>
                                  <w:rFonts w:ascii="Times New Roman;serif" w:hAnsi="Times New Roman;serif"/>
                                  <w:b w:val="false"/>
                                  <w:color w:val="0000FF"/>
                                  <w:sz w:val="20"/>
                                  <w:u w:val="single"/>
                                </w:rPr>
                                <w:t>Table of Contents</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187</w:t>
                      </w:r>
                    </w:p>
                    <w:p>
                      <w:pPr>
                        <w:pStyle w:val="TextBody"/>
                        <w:bidi w:val="0"/>
                        <w:spacing w:lineRule="auto" w:line="288" w:before="0" w:after="180"/>
                        <w:jc w:val="left"/>
                        <w:rPr/>
                      </w:pPr>
                      <w:hyperlink w:anchor="i8e13d1b6f3764394b0e424082d2ac79f_151">
                        <w:r>
                          <w:rPr>
                            <w:rStyle w:val="InternetLink"/>
                            <w:rFonts w:ascii="Times New Roman;serif" w:hAnsi="Times New Roman;serif"/>
                            <w:b w:val="false"/>
                            <w:color w:val="0000FF"/>
                            <w:sz w:val="20"/>
                            <w:u w:val="single"/>
                          </w:rPr>
                          <w:t>Table of Contents</w:t>
                        </w:r>
                      </w:hyperlink>
                    </w:p>
                  </w:txbxContent>
                </v:textbox>
                <w10:wrap type="none"/>
              </v:rect>
            </w:pict>
          </mc:Fallback>
        </mc:AlternateContent>
      </w:r>
    </w:p>
    <w:p>
      <w:pPr>
        <w:pStyle w:val="TextBody"/>
        <w:bidi w:val="0"/>
        <w:spacing w:before="0" w:after="180"/>
        <w:jc w:val="left"/>
        <w:rPr/>
      </w:pPr>
      <w:r>
        <w:rPr/>
      </w:r>
    </w:p>
    <w:tbl>
      <w:tblPr>
        <w:tblW w:w="10205" w:type="dxa"/>
        <w:jc w:val="left"/>
        <w:tblInd w:w="0" w:type="dxa"/>
        <w:tblLayout w:type="fixed"/>
        <w:tblCellMar>
          <w:top w:w="28" w:type="dxa"/>
          <w:left w:w="28" w:type="dxa"/>
          <w:bottom w:w="28" w:type="dxa"/>
          <w:right w:w="28" w:type="dxa"/>
        </w:tblCellMar>
      </w:tblPr>
      <w:tblGrid>
        <w:gridCol w:w="298"/>
        <w:gridCol w:w="257"/>
        <w:gridCol w:w="259"/>
        <w:gridCol w:w="109"/>
        <w:gridCol w:w="109"/>
        <w:gridCol w:w="109"/>
        <w:gridCol w:w="1925"/>
        <w:gridCol w:w="1908"/>
        <w:gridCol w:w="1913"/>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7"/>
      </w:tblGrid>
      <w:tr>
        <w:trPr/>
        <w:tc>
          <w:tcPr>
            <w:tcW w:w="29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5" w:type="dxa"/>
            <w:tcBorders/>
            <w:vAlign w:val="center"/>
          </w:tcPr>
          <w:p>
            <w:pPr>
              <w:pStyle w:val="TableContents"/>
              <w:bidi w:val="0"/>
              <w:spacing w:before="0" w:after="283"/>
              <w:jc w:val="left"/>
              <w:rPr>
                <w:sz w:val="4"/>
                <w:szCs w:val="4"/>
              </w:rPr>
            </w:pPr>
            <w:r>
              <w:rPr>
                <w:sz w:val="4"/>
                <w:szCs w:val="4"/>
              </w:rPr>
            </w:r>
          </w:p>
        </w:tc>
        <w:tc>
          <w:tcPr>
            <w:tcW w:w="1908" w:type="dxa"/>
            <w:tcBorders/>
            <w:vAlign w:val="center"/>
          </w:tcPr>
          <w:p>
            <w:pPr>
              <w:pStyle w:val="TableContents"/>
              <w:bidi w:val="0"/>
              <w:spacing w:before="0" w:after="283"/>
              <w:jc w:val="left"/>
              <w:rPr>
                <w:sz w:val="4"/>
                <w:szCs w:val="4"/>
              </w:rPr>
            </w:pPr>
            <w:r>
              <w:rPr>
                <w:sz w:val="4"/>
                <w:szCs w:val="4"/>
              </w:rPr>
            </w:r>
          </w:p>
        </w:tc>
        <w:tc>
          <w:tcPr>
            <w:tcW w:w="19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1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81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81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81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Filed herewith</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Furnished herewith</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#Indicates management contract or compensatory plan.</w:t>
      </w:r>
    </w:p>
    <w:p>
      <w:pPr>
        <w:pStyle w:val="TextBody"/>
        <w:bidi w:val="0"/>
        <w:spacing w:before="0" w:after="180"/>
        <w:jc w:val="both"/>
        <w:rPr/>
      </w:pPr>
      <w:r>
        <w:rPr/>
      </w:r>
    </w:p>
    <w:p>
      <w:pPr>
        <w:pStyle w:val="TextBody"/>
        <w:bidi w:val="0"/>
        <w:spacing w:lineRule="auto" w:line="288" w:before="0" w:after="240"/>
        <w:jc w:val="both"/>
        <w:rPr>
          <w:color w:val="000000"/>
        </w:rPr>
      </w:pPr>
      <w:r>
        <w:rPr>
          <w:color w:val="000000"/>
        </w:rPr>
        <w:t>†</w:t>
      </w:r>
      <w:r>
        <w:rPr>
          <w:rFonts w:ascii="Times New Roman;serif" w:hAnsi="Times New Roman;serif"/>
          <w:b w:val="false"/>
          <w:color w:val="000000"/>
          <w:sz w:val="20"/>
        </w:rPr>
        <w:t>Schedules and similar attachments to this exhibit have been omitted pursuant to Regulation S-K, Item 601(a)(5). The registrant hereby undertakes to provide further information regarding such omitted materials to the SEC upon request.</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^Certain portions of this exhibit (indicated by “[***]”) have been redacted pursuant to Regulation S-K Item 601(b)(10)(iv). The registrant hereby agrees to furnish supplementally to the SEC, upon its request, an unredacted copy of this exhibit.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ITEM 16. FORM 10-K SUMMARY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480175" cy="293370"/>
                <wp:effectExtent l="0" t="0" r="0" b="0"/>
                <wp:wrapNone/>
                <wp:docPr id="190" name="Frame188"/>
                <a:graphic xmlns:a="http://schemas.openxmlformats.org/drawingml/2006/main">
                  <a:graphicData uri="http://schemas.microsoft.com/office/word/2010/wordprocessingShape">
                    <wps:wsp>
                      <wps:cNvSpPr txBox="1"/>
                      <wps:spPr>
                        <a:xfrm>
                          <a:off x="0" y="0"/>
                          <a:ext cx="6480175" cy="293370"/>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188</w:t>
                            </w:r>
                          </w:p>
                          <w:p>
                            <w:pPr>
                              <w:pStyle w:val="TextBody"/>
                              <w:bidi w:val="0"/>
                              <w:spacing w:lineRule="auto" w:line="288" w:before="0" w:after="180"/>
                              <w:jc w:val="left"/>
                              <w:rPr/>
                            </w:pPr>
                            <w:hyperlink w:anchor="i8e13d1b6f3764394b0e424082d2ac79f_151">
                              <w:r>
                                <w:rPr>
                                  <w:rStyle w:val="InternetLink"/>
                                  <w:rFonts w:ascii="Times New Roman;serif" w:hAnsi="Times New Roman;serif"/>
                                  <w:b w:val="false"/>
                                  <w:color w:val="0000FF"/>
                                  <w:sz w:val="20"/>
                                  <w:u w:val="single"/>
                                </w:rPr>
                                <w:t>Table of Contents</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188</w:t>
                      </w:r>
                    </w:p>
                    <w:p>
                      <w:pPr>
                        <w:pStyle w:val="TextBody"/>
                        <w:bidi w:val="0"/>
                        <w:spacing w:lineRule="auto" w:line="288" w:before="0" w:after="180"/>
                        <w:jc w:val="left"/>
                        <w:rPr/>
                      </w:pPr>
                      <w:hyperlink w:anchor="i8e13d1b6f3764394b0e424082d2ac79f_151">
                        <w:r>
                          <w:rPr>
                            <w:rStyle w:val="InternetLink"/>
                            <w:rFonts w:ascii="Times New Roman;serif" w:hAnsi="Times New Roman;serif"/>
                            <w:b w:val="false"/>
                            <w:color w:val="0000FF"/>
                            <w:sz w:val="20"/>
                            <w:u w:val="single"/>
                          </w:rPr>
                          <w:t>Table of Contents</w:t>
                        </w:r>
                      </w:hyperlink>
                    </w:p>
                  </w:txbxContent>
                </v:textbox>
                <w10:wrap type="none"/>
              </v:rect>
            </w:pict>
          </mc:Fallback>
        </mc:AlternateContent>
      </w:r>
    </w:p>
    <w:p>
      <w:pPr>
        <w:pStyle w:val="TextBody"/>
        <w:bidi w:val="0"/>
        <w:spacing w:before="0" w:after="180"/>
        <w:jc w:val="left"/>
        <w:rPr/>
      </w:pPr>
      <w:r>
        <w:rPr/>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registrant has duly caused this report to be signed on its behalf by the undersigned thereunto duly authorized.</w:t>
      </w:r>
    </w:p>
    <w:tbl>
      <w:tblPr>
        <w:tblW w:w="6964" w:type="dxa"/>
        <w:jc w:val="left"/>
        <w:tblInd w:w="0" w:type="dxa"/>
        <w:tblLayout w:type="fixed"/>
        <w:tblCellMar>
          <w:top w:w="28" w:type="dxa"/>
          <w:left w:w="28" w:type="dxa"/>
          <w:bottom w:w="28" w:type="dxa"/>
          <w:right w:w="28" w:type="dxa"/>
        </w:tblCellMar>
      </w:tblPr>
      <w:tblGrid>
        <w:gridCol w:w="200"/>
        <w:gridCol w:w="177"/>
        <w:gridCol w:w="178"/>
        <w:gridCol w:w="464"/>
        <w:gridCol w:w="464"/>
        <w:gridCol w:w="466"/>
        <w:gridCol w:w="316"/>
        <w:gridCol w:w="316"/>
        <w:gridCol w:w="316"/>
        <w:gridCol w:w="316"/>
        <w:gridCol w:w="316"/>
        <w:gridCol w:w="316"/>
        <w:gridCol w:w="895"/>
        <w:gridCol w:w="895"/>
        <w:gridCol w:w="1329"/>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5" w:type="dxa"/>
            <w:gridSpan w:val="9"/>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Figure Technology Solutions,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394"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March 13, 2026</w:t>
            </w:r>
          </w:p>
        </w:tc>
        <w:tc>
          <w:tcPr>
            <w:tcW w:w="948"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 Michael Tannenbaum</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Michael Tannenbaum</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Chief Executive Officer and Director</w:t>
            </w:r>
          </w:p>
        </w:tc>
      </w:tr>
    </w:tbl>
    <w:tbl>
      <w:tblPr>
        <w:tblW w:w="4689" w:type="dxa"/>
        <w:jc w:val="left"/>
        <w:tblInd w:w="0" w:type="dxa"/>
        <w:tblLayout w:type="fixed"/>
        <w:tblCellMar>
          <w:top w:w="28" w:type="dxa"/>
          <w:left w:w="28" w:type="dxa"/>
          <w:bottom w:w="28" w:type="dxa"/>
          <w:right w:w="28" w:type="dxa"/>
        </w:tblCellMar>
      </w:tblPr>
      <w:tblGrid>
        <w:gridCol w:w="200"/>
        <w:gridCol w:w="177"/>
        <w:gridCol w:w="178"/>
        <w:gridCol w:w="464"/>
        <w:gridCol w:w="464"/>
        <w:gridCol w:w="466"/>
        <w:gridCol w:w="134"/>
        <w:gridCol w:w="134"/>
        <w:gridCol w:w="136"/>
        <w:gridCol w:w="109"/>
        <w:gridCol w:w="109"/>
        <w:gridCol w:w="109"/>
        <w:gridCol w:w="585"/>
        <w:gridCol w:w="585"/>
        <w:gridCol w:w="839"/>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394"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March 13, 2026</w:t>
            </w:r>
          </w:p>
        </w:tc>
        <w:tc>
          <w:tcPr>
            <w:tcW w:w="404"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 Macrina Kgil</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Macrina Kgil</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before="0" w:after="0"/>
        <w:jc w:val="center"/>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Securities Exchange Act of 1934, as amended, this Report has been signed below by the following persons on behalf of the Registrant in the capacities and on the dates indicated.</w:t>
      </w:r>
    </w:p>
    <w:tbl>
      <w:tblPr>
        <w:tblW w:w="9337" w:type="dxa"/>
        <w:jc w:val="left"/>
        <w:tblInd w:w="0" w:type="dxa"/>
        <w:tblLayout w:type="fixed"/>
        <w:tblCellMar>
          <w:top w:w="28" w:type="dxa"/>
          <w:left w:w="28" w:type="dxa"/>
          <w:bottom w:w="28" w:type="dxa"/>
          <w:right w:w="28" w:type="dxa"/>
        </w:tblCellMar>
      </w:tblPr>
      <w:tblGrid>
        <w:gridCol w:w="774"/>
        <w:gridCol w:w="682"/>
        <w:gridCol w:w="689"/>
        <w:gridCol w:w="109"/>
        <w:gridCol w:w="109"/>
        <w:gridCol w:w="109"/>
        <w:gridCol w:w="1692"/>
        <w:gridCol w:w="1692"/>
        <w:gridCol w:w="1715"/>
        <w:gridCol w:w="109"/>
        <w:gridCol w:w="109"/>
        <w:gridCol w:w="109"/>
        <w:gridCol w:w="419"/>
        <w:gridCol w:w="419"/>
        <w:gridCol w:w="601"/>
      </w:tblGrid>
      <w:tr>
        <w:trPr/>
        <w:tc>
          <w:tcPr>
            <w:tcW w:w="774"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2" w:type="dxa"/>
            <w:tcBorders/>
            <w:vAlign w:val="center"/>
          </w:tcPr>
          <w:p>
            <w:pPr>
              <w:pStyle w:val="TableContents"/>
              <w:bidi w:val="0"/>
              <w:spacing w:before="0" w:after="283"/>
              <w:jc w:val="left"/>
              <w:rPr>
                <w:sz w:val="4"/>
                <w:szCs w:val="4"/>
              </w:rPr>
            </w:pPr>
            <w:r>
              <w:rPr>
                <w:sz w:val="4"/>
                <w:szCs w:val="4"/>
              </w:rPr>
            </w:r>
          </w:p>
        </w:tc>
        <w:tc>
          <w:tcPr>
            <w:tcW w:w="1692" w:type="dxa"/>
            <w:tcBorders/>
            <w:vAlign w:val="center"/>
          </w:tcPr>
          <w:p>
            <w:pPr>
              <w:pStyle w:val="TableContents"/>
              <w:bidi w:val="0"/>
              <w:spacing w:before="0" w:after="283"/>
              <w:jc w:val="left"/>
              <w:rPr>
                <w:sz w:val="4"/>
                <w:szCs w:val="4"/>
              </w:rPr>
            </w:pPr>
            <w:r>
              <w:rPr>
                <w:sz w:val="4"/>
                <w:szCs w:val="4"/>
              </w:rPr>
            </w:r>
          </w:p>
        </w:tc>
        <w:tc>
          <w:tcPr>
            <w:tcW w:w="17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color w:val="000000"/>
                <w:sz w:val="20"/>
              </w:rPr>
            </w:pPr>
            <w:r>
              <w:rPr>
                <w:rFonts w:ascii="Times New Roman;serif" w:hAnsi="Times New Roman;serif"/>
                <w:b/>
                <w:color w:val="000000"/>
                <w:sz w:val="20"/>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color w:val="000000"/>
                <w:sz w:val="20"/>
              </w:rPr>
            </w:pPr>
            <w:r>
              <w:rPr>
                <w:rFonts w:ascii="Times New Roman;serif" w:hAnsi="Times New Roman;serif"/>
                <w:b/>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color w:val="000000"/>
                <w:sz w:val="20"/>
              </w:rPr>
            </w:pPr>
            <w:r>
              <w:rPr>
                <w:rFonts w:ascii="Times New Roman;serif" w:hAnsi="Times New Roman;serif"/>
                <w:b/>
                <w:color w:val="000000"/>
                <w:sz w:val="20"/>
              </w:rPr>
              <w:t>Date</w:t>
            </w:r>
          </w:p>
        </w:tc>
      </w:tr>
      <w:tr>
        <w:trPr/>
        <w:tc>
          <w:tcPr>
            <w:tcW w:w="21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/s/ Michael Tannenbaum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vMerge w:val="restart"/>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and Director</w:t>
              <w:b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vMerge w:val="restart"/>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March 13, 2026</w:t>
            </w:r>
          </w:p>
        </w:tc>
      </w:tr>
      <w:tr>
        <w:trPr/>
        <w:tc>
          <w:tcPr>
            <w:tcW w:w="21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Michael Tannenbaum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/s/ Macrina Kgil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vMerge w:val="restart"/>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br/>
              <w:t>(Principal Financial Officer and Principal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vMerge w:val="restart"/>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March 13, 2026</w:t>
            </w:r>
          </w:p>
        </w:tc>
      </w:tr>
      <w:tr>
        <w:trPr/>
        <w:tc>
          <w:tcPr>
            <w:tcW w:w="21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Macrina Kgil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/s/ Michael Cagney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vMerge w:val="restart"/>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Chairman of the Board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vMerge w:val="restart"/>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March 13, 2026</w:t>
            </w:r>
          </w:p>
        </w:tc>
      </w:tr>
      <w:tr>
        <w:trPr/>
        <w:tc>
          <w:tcPr>
            <w:tcW w:w="21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Michael Cagney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/s/ Adam Boyden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vMerge w:val="restart"/>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vMerge w:val="restart"/>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March 13, 2026</w:t>
            </w:r>
          </w:p>
        </w:tc>
      </w:tr>
      <w:tr>
        <w:trPr/>
        <w:tc>
          <w:tcPr>
            <w:tcW w:w="21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Adam Boyden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/s/ David Katsujin Chao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vMerge w:val="restart"/>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vMerge w:val="restart"/>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March 13, 2026</w:t>
            </w:r>
          </w:p>
        </w:tc>
      </w:tr>
      <w:tr>
        <w:trPr/>
        <w:tc>
          <w:tcPr>
            <w:tcW w:w="21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David Katsujin Chao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/s/ Lesley Goldwasser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vMerge w:val="restart"/>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vMerge w:val="restart"/>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March 13, 2026</w:t>
            </w:r>
          </w:p>
        </w:tc>
      </w:tr>
      <w:tr>
        <w:trPr/>
        <w:tc>
          <w:tcPr>
            <w:tcW w:w="21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Lesley Goldwasser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/s/ Sachin Jaitly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vMerge w:val="restart"/>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vMerge w:val="restart"/>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March 13, 2026</w:t>
            </w:r>
          </w:p>
        </w:tc>
      </w:tr>
      <w:tr>
        <w:trPr/>
        <w:tc>
          <w:tcPr>
            <w:tcW w:w="21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Sachin Jaitly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/s/ Daniel Morehead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vMerge w:val="restart"/>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vMerge w:val="restart"/>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March 13, 2026</w:t>
            </w:r>
          </w:p>
        </w:tc>
      </w:tr>
      <w:tr>
        <w:trPr/>
        <w:tc>
          <w:tcPr>
            <w:tcW w:w="21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Daniel Morehead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/s/ June Ou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vMerge w:val="restart"/>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vMerge w:val="restart"/>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March 13, 2026</w:t>
            </w:r>
          </w:p>
        </w:tc>
      </w:tr>
      <w:tr>
        <w:trPr/>
        <w:tc>
          <w:tcPr>
            <w:tcW w:w="21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June Ou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before="0" w:after="18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Exhibit 4.5</w:t>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480175" cy="293370"/>
                <wp:effectExtent l="0" t="0" r="0" b="0"/>
                <wp:wrapNone/>
                <wp:docPr id="191" name="Frame189"/>
                <a:graphic xmlns:a="http://schemas.openxmlformats.org/drawingml/2006/main">
                  <a:graphicData uri="http://schemas.microsoft.com/office/word/2010/wordprocessingShape">
                    <wps:wsp>
                      <wps:cNvSpPr txBox="1"/>
                      <wps:spPr>
                        <a:xfrm>
                          <a:off x="0" y="0"/>
                          <a:ext cx="6480175" cy="293370"/>
                        </a:xfrm>
                        <a:prstGeom prst="rect"/>
                        <a:solidFill>
                          <a:srgbClr val="FFFFFF"/>
                        </a:solidFill>
                      </wps:spPr>
                      <wps:txb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189</w:t>
                            </w:r>
                          </w:p>
                          <w:p>
                            <w:pPr>
                              <w:pStyle w:val="TextBody"/>
                              <w:bidi w:val="0"/>
                              <w:spacing w:lineRule="auto" w:line="288" w:before="0" w:after="180"/>
                              <w:jc w:val="left"/>
                              <w:rPr/>
                            </w:pPr>
                            <w:hyperlink w:anchor="i8e13d1b6f3764394b0e424082d2ac79f_151">
                              <w:r>
                                <w:rPr>
                                  <w:rStyle w:val="InternetLink"/>
                                  <w:rFonts w:ascii="Times New Roman;serif" w:hAnsi="Times New Roman;serif"/>
                                  <w:b w:val="false"/>
                                  <w:color w:val="0000FF"/>
                                  <w:sz w:val="20"/>
                                  <w:u w:val="single"/>
                                </w:rPr>
                                <w:t>Table of Contents</w:t>
                              </w:r>
                            </w:hyperlink>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437.55pt;mso-position-horizontal:left;mso-position-horizontal-relative:text">
                <v:textbox>
                  <w:txbxContent>
                    <w:p>
                      <w:pPr>
                        <w:pStyle w:val="TextBody"/>
                        <w:bidi w:val="0"/>
                        <w:spacing w:lineRule="auto" w:line="240" w:before="0" w:after="0"/>
                        <w:ind w:left="0" w:right="0" w:hanging="540"/>
                        <w:jc w:val="center"/>
                        <w:rPr>
                          <w:rFonts w:ascii="Times New Roman;serif" w:hAnsi="Times New Roman;serif"/>
                          <w:b w:val="false"/>
                          <w:color w:val="000000"/>
                          <w:sz w:val="20"/>
                        </w:rPr>
                      </w:pPr>
                      <w:r>
                        <w:rPr>
                          <w:rFonts w:ascii="Times New Roman;serif" w:hAnsi="Times New Roman;serif"/>
                          <w:b w:val="false"/>
                          <w:color w:val="000000"/>
                          <w:sz w:val="20"/>
                        </w:rPr>
                        <w:t>189</w:t>
                      </w:r>
                    </w:p>
                    <w:p>
                      <w:pPr>
                        <w:pStyle w:val="TextBody"/>
                        <w:bidi w:val="0"/>
                        <w:spacing w:lineRule="auto" w:line="288" w:before="0" w:after="180"/>
                        <w:jc w:val="left"/>
                        <w:rPr/>
                      </w:pPr>
                      <w:hyperlink w:anchor="i8e13d1b6f3764394b0e424082d2ac79f_151">
                        <w:r>
                          <w:rPr>
                            <w:rStyle w:val="InternetLink"/>
                            <w:rFonts w:ascii="Times New Roman;serif" w:hAnsi="Times New Roman;serif"/>
                            <w:b w:val="false"/>
                            <w:color w:val="0000FF"/>
                            <w:sz w:val="20"/>
                            <w:u w:val="single"/>
                          </w:rPr>
                          <w:t>Table of Contents</w:t>
                        </w:r>
                      </w:hyperlink>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DESCRIPTION OF CAPITAL STOCK</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General</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description summarizes certain important terms of our capital stock, our second amended and restated articles of incorporation and our amended and restated bylaws. Because it is only a summary, it does not contain all the information that may be important to you. For a complete description of the matters set forth in this section titled “Description of Capital Stock,” you should refer to our articles of incorporation, as amended and restated (the “articles of incorporation”), bylaws, as amended and restated (the “bylaws”), and the Investors’ Rights Agreement, as amended, entered into amongst us and the investors listed therein on August 29, 2025 (the “Investors’ Rights Agreement”), and to the applicable provisions of Nevada law, all of which are incorporated into this summary by reference. In this section, the terms “blockchain common stock” and “blockchain stock” are used interchangeably.</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authorized capital stock consists of 1,800,000,000 shares of capital stock, $0.0001 par value per share, of which:</w:t>
      </w:r>
    </w:p>
    <w:p>
      <w:pPr>
        <w:pStyle w:val="TextBody"/>
        <w:bidi w:val="0"/>
        <w:spacing w:lineRule="auto" w:line="240" w:before="0" w:after="0"/>
        <w:ind w:left="0" w:right="0" w:hanging="720"/>
        <w:jc w:val="left"/>
        <w:rPr/>
      </w:pPr>
      <w:r>
        <w:rPr>
          <w:color w:val="000000"/>
        </w:rPr>
        <w:t>•</w:t>
      </w:r>
      <w:r>
        <w:rPr>
          <w:rFonts w:ascii="Times New Roman;serif" w:hAnsi="Times New Roman;serif"/>
          <w:b w:val="false"/>
          <w:color w:val="000000"/>
          <w:sz w:val="20"/>
        </w:rPr>
        <w:t>1,000,000,000 shares are Class A common stock;</w:t>
      </w:r>
    </w:p>
    <w:p>
      <w:pPr>
        <w:pStyle w:val="TextBody"/>
        <w:bidi w:val="0"/>
        <w:spacing w:lineRule="auto" w:line="240" w:before="0" w:after="0"/>
        <w:ind w:left="0" w:right="0" w:hanging="720"/>
        <w:jc w:val="left"/>
        <w:rPr/>
      </w:pPr>
      <w:r>
        <w:rPr>
          <w:color w:val="000000"/>
        </w:rPr>
        <w:t>•</w:t>
      </w:r>
      <w:r>
        <w:rPr>
          <w:rFonts w:ascii="Times New Roman;serif" w:hAnsi="Times New Roman;serif"/>
          <w:b w:val="false"/>
          <w:color w:val="000000"/>
          <w:sz w:val="20"/>
        </w:rPr>
        <w:t>200,000,000 shares are Class B common stock;</w:t>
      </w:r>
    </w:p>
    <w:p>
      <w:pPr>
        <w:pStyle w:val="TextBody"/>
        <w:bidi w:val="0"/>
        <w:spacing w:lineRule="auto" w:line="240" w:before="0" w:after="0"/>
        <w:ind w:left="0" w:right="0" w:hanging="720"/>
        <w:jc w:val="left"/>
        <w:rPr/>
      </w:pPr>
      <w:r>
        <w:rPr>
          <w:color w:val="000000"/>
        </w:rPr>
        <w:t>•</w:t>
      </w:r>
      <w:r>
        <w:rPr>
          <w:rFonts w:ascii="Times New Roman;serif" w:hAnsi="Times New Roman;serif"/>
          <w:b w:val="false"/>
          <w:color w:val="000000"/>
          <w:sz w:val="20"/>
        </w:rPr>
        <w:t>100,000,000 shares are undesignated or “blank check” preferred stock; and</w:t>
      </w:r>
    </w:p>
    <w:p>
      <w:pPr>
        <w:pStyle w:val="TextBody"/>
        <w:bidi w:val="0"/>
        <w:spacing w:lineRule="auto" w:line="240" w:before="0" w:after="240"/>
        <w:ind w:left="0" w:right="0" w:hanging="720"/>
        <w:jc w:val="left"/>
        <w:rPr/>
      </w:pPr>
      <w:r>
        <w:rPr>
          <w:color w:val="000000"/>
        </w:rPr>
        <w:t>•</w:t>
      </w:r>
      <w:r>
        <w:rPr>
          <w:rFonts w:ascii="Times New Roman;serif" w:hAnsi="Times New Roman;serif"/>
          <w:b w:val="false"/>
          <w:color w:val="000000"/>
          <w:sz w:val="20"/>
        </w:rPr>
        <w:t>500,000,000 shares are undesignated or “blank check” blockchain common stock.</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Description of Common Stock</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Common Stock</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authorized shares of common stock are designated as Class A common stock and Class B common stock (together, the “common stock”). The rights of the holders of our Class A common stock and Class B common stock are identical, except with respect to voting and conversion.</w:t>
      </w:r>
    </w:p>
    <w:p>
      <w:pPr>
        <w:pStyle w:val="TextBody"/>
        <w:bidi w:val="0"/>
        <w:spacing w:lineRule="auto" w:line="288" w:before="0" w:after="240"/>
        <w:ind w:left="0" w:right="0" w:firstLine="720"/>
        <w:jc w:val="left"/>
        <w:rPr>
          <w:rFonts w:ascii="Times New Roman;serif" w:hAnsi="Times New Roman;serif"/>
          <w:b/>
          <w:i/>
          <w:color w:val="000000"/>
          <w:sz w:val="20"/>
        </w:rPr>
      </w:pPr>
      <w:r>
        <w:rPr>
          <w:rFonts w:ascii="Times New Roman;serif" w:hAnsi="Times New Roman;serif"/>
          <w:b/>
          <w:i/>
          <w:color w:val="000000"/>
          <w:sz w:val="20"/>
        </w:rPr>
        <w:t>Rights to Dividends and Other Distributions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Subject to preferences that may apply to any shares of preferred stock or blockchain common stock outstanding at the time, the holders of our common stock are entitled to receive dividends and other distributions out of funds legally available if our Board of Directors, in its discretion, determines to issue dividends and other distributions and then only at the times and in the amounts that our Board of Directors may determine.</w:t>
      </w:r>
    </w:p>
    <w:p>
      <w:pPr>
        <w:pStyle w:val="TextBody"/>
        <w:bidi w:val="0"/>
        <w:spacing w:lineRule="auto" w:line="288" w:before="0" w:after="240"/>
        <w:ind w:left="0" w:right="0" w:firstLine="720"/>
        <w:jc w:val="left"/>
        <w:rPr>
          <w:rFonts w:ascii="Times New Roman;serif" w:hAnsi="Times New Roman;serif"/>
          <w:b/>
          <w:i/>
          <w:color w:val="000000"/>
          <w:sz w:val="20"/>
        </w:rPr>
      </w:pPr>
      <w:r>
        <w:rPr>
          <w:rFonts w:ascii="Times New Roman;serif" w:hAnsi="Times New Roman;serif"/>
          <w:b/>
          <w:i/>
          <w:color w:val="000000"/>
          <w:sz w:val="20"/>
        </w:rPr>
        <w:t>No Preemptive or Similar Rights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common stock is not entitled to preemptive rights and is not subject to redemption or sinking fund provisions. Our Class A common stock is not subject to conversion provisions.</w:t>
      </w:r>
    </w:p>
    <w:p>
      <w:pPr>
        <w:pStyle w:val="TextBody"/>
        <w:bidi w:val="0"/>
        <w:spacing w:lineRule="auto" w:line="288" w:before="0" w:after="240"/>
        <w:ind w:left="0" w:right="0" w:firstLine="720"/>
        <w:jc w:val="left"/>
        <w:rPr>
          <w:rFonts w:ascii="Times New Roman;serif" w:hAnsi="Times New Roman;serif"/>
          <w:b/>
          <w:i/>
          <w:color w:val="000000"/>
          <w:sz w:val="20"/>
        </w:rPr>
      </w:pPr>
      <w:r>
        <w:rPr>
          <w:rFonts w:ascii="Times New Roman;serif" w:hAnsi="Times New Roman;serif"/>
          <w:b/>
          <w:i/>
          <w:color w:val="000000"/>
          <w:sz w:val="20"/>
        </w:rPr>
        <w:t>Voting Rights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Holders of our Class A common stock are entitled to one vote per share held as of the applicable record date on all matters submitted to a vote of the holders of our Class A common stock, and holders of our Class B common stock are entitled to ten votes per share held as of the applicable record date on all matters submitted to a vote of the holders of our Class B common stock. The holders of our Class A common stock and Class B common stock generally vote together as a single class on all matters submitted to a vote of our stockholders, unless otherwise required by Nevada law or our articles of incorporation. Nevada law could require either holders of our Class A common stock or Class B common stock to vote separately as a single class if we were to seek to amend our articles of incorporation in a manner that alters or changes the powers, preferences, or special rights of such class of common stock in a manner that affected such shares adversely but does not so affect the shares of the other class of common stock.</w: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Exhibit 4.5</w:t>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480175" cy="292100"/>
                <wp:effectExtent l="0" t="0" r="0" b="0"/>
                <wp:wrapNone/>
                <wp:docPr id="192" name="Frame190"/>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|US-DOCS\168558532.4||    | 079345-0005||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437.55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|US-DOCS\168558532.4||    | 079345-0005||</w:t>
                      </w:r>
                    </w:p>
                  </w:txbxContent>
                </v:textbox>
                <w10:wrap type="none"/>
              </v:rect>
            </w:pict>
          </mc:Fallback>
        </mc:AlternateConten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stockholders do not have the ability to cumulate votes for the election of directors. As a result, the holders of a plurality of the voting power of the shares present in person or represented by proxy at the meeting and entitled to vote on the election of directors have the ability to elect all of the directors standing for election. Except as otherwise provided by law, our governing documents or the rules of the stock exchange on which our securities are listed, at any meeting of the stockholders at which a quorum is present or represented, a proposed action by the stockholders on a matter other than the election of directors will be approved if the number of votes cast in favor of the action exceeds the number of votes cast in opposition to the action. The holders of a majority of the voting power of the capital stock issued and outstanding and entitled to vote as of the applicable record date, present in person or represented by proxy (regardless of whether the proxy has authority to vote on any matter), shall constitute a quorum for the transaction of business at all meetings of the stockholders.</w:t>
      </w:r>
    </w:p>
    <w:p>
      <w:pPr>
        <w:pStyle w:val="TextBody"/>
        <w:bidi w:val="0"/>
        <w:spacing w:lineRule="auto" w:line="288" w:before="0" w:after="240"/>
        <w:ind w:left="0" w:right="0" w:firstLine="720"/>
        <w:jc w:val="left"/>
        <w:rPr>
          <w:rFonts w:ascii="Times New Roman;serif" w:hAnsi="Times New Roman;serif"/>
          <w:b/>
          <w:i/>
          <w:color w:val="000000"/>
          <w:sz w:val="20"/>
        </w:rPr>
      </w:pPr>
      <w:r>
        <w:rPr>
          <w:rFonts w:ascii="Times New Roman;serif" w:hAnsi="Times New Roman;serif"/>
          <w:b/>
          <w:i/>
          <w:color w:val="000000"/>
          <w:sz w:val="20"/>
        </w:rPr>
        <w:t>Liquidation Rights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we become subject to a liquidation, dissolution or winding-up, the assets legally available for distribution to our stockholders would be distributable ratably among the holders of our common stock and any participating preferred stock or blockchain common stock outstanding at that time, subject to prior satisfaction of all outstanding debt and liabilities and the preferential rights of and the payment of liquidation preferences, if any, on any outstanding shares of preferred stock or blockchain common stock.</w:t>
      </w:r>
    </w:p>
    <w:p>
      <w:pPr>
        <w:pStyle w:val="TextBody"/>
        <w:bidi w:val="0"/>
        <w:spacing w:lineRule="auto" w:line="288" w:before="0" w:after="240"/>
        <w:ind w:left="0" w:right="0" w:firstLine="720"/>
        <w:jc w:val="left"/>
        <w:rPr>
          <w:rFonts w:ascii="Times New Roman;serif" w:hAnsi="Times New Roman;serif"/>
          <w:b/>
          <w:i/>
          <w:color w:val="000000"/>
          <w:sz w:val="20"/>
        </w:rPr>
      </w:pPr>
      <w:r>
        <w:rPr>
          <w:rFonts w:ascii="Times New Roman;serif" w:hAnsi="Times New Roman;serif"/>
          <w:b/>
          <w:i/>
          <w:color w:val="000000"/>
          <w:sz w:val="20"/>
        </w:rPr>
        <w:t>Conversion</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Each outstanding share of Class B common stock is convertible at any time at the option of the holder into one share of Class A common stock. In addition, each share of Class B common stock will convert automatically into one share of Class A common stock (i) upon any transfer by the holder, whether or not for value, which occurs after the closing of this offering, except for certain permitted transfers described in our articles of incorporation, including transfers to certain trusts, estate planning vehicles or similar entities over which Michael Cagney, our co-founder, holds dispositive power and voting control with respect to the shares of Class B common stock held thereby, certain Individual Retirement Accounts (as defined in Section 408(a) of the Code), and certain partnerships, corporations, and other entities over which Mr. Cagney holds dispositive power and voting control with respect to the shares of Class B common stock held thereby and (ii) upon the Final Conversion Date (the “Class B Automatic Conversion”). The Final Conversion Date is (a) the date fixed by our Board of Directors, which date will be no less than 61 days and no more than 180 days following the first date on which Mr. Cagney fails to satisfy the requirement that Mr. Cagney and Mr. Cagney’s permitted entities and transferees hold at least 5% of the issued and outstanding shares of common stock (excluding any shares of Class B common stock that remain subject to vesting requirements at such time) owned of record thereby on the date on which our second amended and restated articles of incorporation became effective (the “Minimum Class B Share Ownership Condition”); or (b) the date that is twenty-four months after the death or Disability (as defined in our articles of incorporation) of Mr. Cagney, provided, that such date may be extended but not for a total period of longer than twelve months, to a date approved by a majority of the independent directors then in office. Following such conversions, each share of Class A common stock will have one vote, and the rights of the holders of all outstanding common stock will be identical. Once converted into Class A common stock, the Class B common stock may not be reissued.</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Preferred Stock</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Board of Directors has the authority, subject to limitations prescribed by Nevada law, to issue shares of our authorized but unissued preferred stock in one or more series, and to fix the designations, powers, preferences, and rights, and the qualifications, limitations, or restrictions thereof, in each case without further vote or action by our stockholders. These powers, rights, preferences, and privileges could include dividend rights, dividend rate, conversion rights, voting rights, rights, and terms of redemption (including sinking fund provisions), redemption price(s) and liquidation preferences, and the number of shares constituting any series or the designation of such series, any or all of which may be greater than the rights of the common stock. The issuance of preferred stock could adversely affect the voting power of holders of common stock and the likelihood that such holders will receive dividend payments and payments upon liquidation. In addition, the issuance of preferred stock could have the effect </w: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Exhibit 4.5</w:t>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480175" cy="292100"/>
                <wp:effectExtent l="0" t="0" r="0" b="0"/>
                <wp:wrapNone/>
                <wp:docPr id="193" name="Frame191"/>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|US-DOCS\168558532.4||    | 079345-0005||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437.55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|US-DOCS\168558532.4||    | 079345-0005||</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of delaying, deferring, or preventing a change in our control or other corporate action. As of the closing of this offering, no shares of preferred stock will be outstanding.</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Blockchain Common Stock</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Board of Directors has the authority, subject to limitations prescribed by Nevada law, to issue shares of our authorized but unissued blockchain common stock in one or more series, and to fix the designations, powers, preferences, and rights, and the qualifications, limitations, or restrictions thereof, in each case without further vote or action by our stockholders. These powers, rights, preferences, and privileges could include dividend rights, dividend rate, conversion rights, voting rights, rights, and terms of redemption (including sinking fund provisions), redemption price(s) and liquidation preferences, and the number of shares constituting any series or the designation of such series, any or all of which may be greater than the rights of the common stock. Our Board of Directors may use the undesignated blockchain common stock to issue common stock, or rights or options thereto, in the form of blockchain-based shares or tokens. The issuance of blockchain common stock could adversely affect the voting power of holders of common stock and the likelihood that such holders will receive dividend payments and payments upon liquidation. In addition, the issuance of blockchain common stock could have the effect of delaying, deferring, or preventing a change in our control or other corporate action.</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Holders of blockchain common stock generally have economic rights that are intended to be substantially comparable to those of holders of Class A common stock, including parity ranking with Class A common stock as to dividends and liquidation distributions and one vote per share voting together with common stock as a single class in most circumstances. However, blockchain stock differs from Class A common stock in several material respects. In particular, we may, at our election, effect dividends or other distributions to holders of blockchain stock through blockchain-based representations of dollar value delivered to holders’ wallets (for example, in payment stablecoins (such as USDC) or YLDS), whereas dividends, if any, on Class A common stock would be paid through traditional distribution channels. Further, holders of blockchain stock are afforded a separate class vote in certain circumstances, including with respect to amendments to the certificate of designation governing the terms of the blockchain stock and potentially certain amendments to our articles of incorporation that adversely affect blockchain stock.</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Warrant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December 31, 2025, we had an outstanding warrant to purchase up to 456,909 shares of Class A common stock with an exercise price of $3.23 per share. This warrant contains time-based and performance-based vesting conditions. This warrant contains a net exercise provision under which its holder may, in lieu of payment of the exercise price in cash, surrender the warrant and receive a net amount of shares based on the fair market value of the underlying shares at the time of exercise of the warrant after deduction of a number of shares equal in value to the aggregate exercise price. This warrant will remain outstanding until its expiration two years from the end of the vesting period unless earlier exercised. If the fair market value of a share of common stock at the time the warrant is exercised or at the time of expiration of this warrant is greater than the exercise price of this warrant, any portion of the warrant not previously exercised will automatically be deemed exercised pursuant to the terms and at such price as described in this warrant.</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Registration Rights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August 29, 2025, in connection with the recombination of the FT Intermediate, Inc. and Figure Markets Holdings, Inc. businesses (the “Recombination”), we entered into the Investors’ Rights Agreement, pursuant to which certain holders of our redeemable convertible preferred stock and common stock, or certain of their transferees, are entitled to demand the registration of certain or all of our Class A common stock that such persons beneficially own or their convertible preferred stock is convertible into. </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Anti-Takeover Effects of Certain Provisions of Nevada Law, Our Articles of Incorporation and Our Bylaws</w: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Exhibit 4.5</w:t>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480175" cy="292100"/>
                <wp:effectExtent l="0" t="0" r="0" b="0"/>
                <wp:wrapNone/>
                <wp:docPr id="194" name="Frame192"/>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|US-DOCS\168558532.4||    | 079345-0005||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437.55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|US-DOCS\168558532.4||    | 079345-0005||</w:t>
                      </w:r>
                    </w:p>
                  </w:txbxContent>
                </v:textbox>
                <w10:wrap type="none"/>
              </v:rect>
            </w:pict>
          </mc:Fallback>
        </mc:AlternateConten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Certain provisions of Nevada law, our articles of incorporation, and our bylaws, which are summarized below, may have the effect of delaying, deferring, or discouraging another person from acquiring control of us. They are also designed, in part, to encourage persons seeking to acquire control of us to negotiate first with our Board of Directors. We believe that the benefits of increased protection of our potential ability to negotiate with an unfriendly or unsolicited acquirer outweigh the disadvantages of discouraging a proposal to acquire us because negotiation of these proposals could result in an improvement of their terms.</w:t>
      </w:r>
    </w:p>
    <w:p>
      <w:pPr>
        <w:pStyle w:val="TextBody"/>
        <w:bidi w:val="0"/>
        <w:spacing w:lineRule="auto" w:line="288" w:before="0" w:after="240"/>
        <w:ind w:left="0" w:right="0" w:firstLine="720"/>
        <w:jc w:val="left"/>
        <w:rPr>
          <w:rFonts w:ascii="Times New Roman;serif" w:hAnsi="Times New Roman;serif"/>
          <w:b/>
          <w:i/>
          <w:color w:val="000000"/>
          <w:sz w:val="20"/>
        </w:rPr>
      </w:pPr>
      <w:r>
        <w:rPr>
          <w:rFonts w:ascii="Times New Roman;serif" w:hAnsi="Times New Roman;serif"/>
          <w:b/>
          <w:i/>
          <w:color w:val="000000"/>
          <w:sz w:val="20"/>
        </w:rPr>
        <w:t>Nevada Law</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Nevada’s “combinations with interested stockholders” statutes (NRS 78.411 through 78.444, inclusive) prohibit specified types of business “combinations” between certain Nevada corporations and any person deemed to be an “interested stockholder” for two years after such person first becomes an “interested stockholder” unless the corporation’s board of directors approves the combination (or the transaction by which such person becomes an “interested stockholder”) in advance, or unless the combination is approved by the board of directors and sixty percent of the corporation’s voting power not beneficially owned by the interested stockholder, its affiliates and associates. Further, in the absence of prior approval certain restrictions may apply even after such two-year period. However, these statutes do not apply to any combination of a corporation and an interested stockholder after the expiration of four years after the person first became an interested stockholder. For purposes of these statutes, an “interested stockholder” is any person who is (1) the beneficial owner, directly or indirectly, of ten percent or more of the voting power of the outstanding voting shares of the corporation, or (2) an affiliate or associate of the corporation and at any time within the two previous years was the beneficial owner, directly or indirectly, of ten percent or more of the voting power of the then-outstanding shares of the corporation. The definition of the term “combination” is sufficiently broad to cover most significant transactions between a corporation and an “interested stockholder.” Our articles of incorporation provide that these statutes do not apply to us.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Nevada’s “acquisition of controlling interest” statutes (NRS 78.378 through 78.3793, inclusive) contain provisions governing the acquisition of a controlling interest in certain Nevada corporations. These “control share” laws provide generally that any person that acquires a “controlling interest” in certain Nevada corporations may be denied voting rights, unless a majority of the disinterested stockholders of the corporation elects to restore such voting rights. These laws would apply to us if we were to have 200 or more stockholders of record (at least 100 of whom have addresses in Nevada appearing on our stock ledger) and do business in the State of Nevada directly or through an affiliated corporation, unless our articles of incorporation or bylaws in effect on the tenth day after the acquisition of a controlling interest provide otherwise. These laws provide that a person acquires a “controlling interest” whenever a person acquires shares of a subject corporation that, but for the application of these provisions of the NRS, would enable that person to exercise (1) one-fifth or more, but less than one-third, (2) one-third or more, but less than a majority or (3) a majority or more, of all of the voting power of the corporation in the election of directors. Once an acquirer crosses one of these thresholds, shares which it acquired in the transaction taking it over the threshold and within the 90 days immediately preceding the date when the acquiring person acquired or offered to acquire a controlling interest become “control shares” to which the voting restrictions described above apply. Our articles of incorporation provide that these statutes do not apply to us.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NRS 78.139 also provides that directors may resist a change or potential change in control of the corporation if the board of directors determines that the change or potential change is opposed to or not in the best interest of the corporation upon consideration of any relevant facts, circumstances, contingencies or constituencies pursuant to NRS 78.138(4).</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These provisions, if applicable to us, may have the effect of delaying, deferring, or preventing changes in control of our Company.</w:t>
      </w:r>
    </w:p>
    <w:p>
      <w:pPr>
        <w:pStyle w:val="TextBody"/>
        <w:bidi w:val="0"/>
        <w:spacing w:lineRule="auto" w:line="288" w:before="0" w:after="240"/>
        <w:ind w:left="0" w:right="0" w:firstLine="720"/>
        <w:jc w:val="left"/>
        <w:rPr>
          <w:rFonts w:ascii="Times New Roman;serif" w:hAnsi="Times New Roman;serif"/>
          <w:b/>
          <w:i/>
          <w:color w:val="000000"/>
          <w:sz w:val="20"/>
        </w:rPr>
      </w:pPr>
      <w:r>
        <w:rPr>
          <w:rFonts w:ascii="Times New Roman;serif" w:hAnsi="Times New Roman;serif"/>
          <w:b/>
          <w:i/>
          <w:color w:val="000000"/>
          <w:sz w:val="20"/>
        </w:rPr>
        <w:t>Articles of Incorporation and Bylaws Provisions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articles of incorporation and bylaws include a number of provisions that could deter hostile takeovers or delay or prevent changes in control of our Board of Directors or management. Among other things, our articles of incorporation and bylaws:</w: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Exhibit 4.5</w:t>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480175" cy="292100"/>
                <wp:effectExtent l="0" t="0" r="0" b="0"/>
                <wp:wrapNone/>
                <wp:docPr id="195" name="Frame193"/>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|US-DOCS\168558532.4||    | 079345-0005||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437.55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|US-DOCS\168558532.4||    | 079345-0005||</w:t>
                      </w:r>
                    </w:p>
                  </w:txbxContent>
                </v:textbox>
                <w10:wrap type="none"/>
              </v:rect>
            </w:pict>
          </mc:Fallback>
        </mc:AlternateContent>
      </w:r>
    </w:p>
    <w:p>
      <w:pPr>
        <w:pStyle w:val="TextBody"/>
        <w:bidi w:val="0"/>
        <w:spacing w:lineRule="auto" w:line="240" w:before="0" w:after="0"/>
        <w:ind w:left="0" w:right="0" w:hanging="720"/>
        <w:jc w:val="left"/>
        <w:rPr/>
      </w:pPr>
      <w:r>
        <w:rPr>
          <w:color w:val="000000"/>
        </w:rPr>
        <w:t>•</w:t>
      </w:r>
      <w:r>
        <w:rPr>
          <w:rFonts w:ascii="Times New Roman;serif" w:hAnsi="Times New Roman;serif"/>
          <w:b w:val="false"/>
          <w:color w:val="000000"/>
          <w:sz w:val="20"/>
        </w:rPr>
        <w:t>provide for a dual-class common stock structure, with differing voting rights;</w:t>
      </w:r>
    </w:p>
    <w:p>
      <w:pPr>
        <w:pStyle w:val="TextBody"/>
        <w:bidi w:val="0"/>
        <w:spacing w:lineRule="auto" w:line="240" w:before="0" w:after="0"/>
        <w:ind w:left="0" w:right="0" w:hanging="720"/>
        <w:jc w:val="left"/>
        <w:rPr/>
      </w:pPr>
      <w:r>
        <w:rPr>
          <w:color w:val="000000"/>
        </w:rPr>
        <w:t>•</w:t>
      </w:r>
      <w:r>
        <w:rPr>
          <w:rFonts w:ascii="Times New Roman;serif" w:hAnsi="Times New Roman;serif"/>
          <w:b w:val="false"/>
          <w:color w:val="000000"/>
          <w:sz w:val="20"/>
        </w:rPr>
        <w:t>permit our Board of Directors to issue shares of our preferred stock or blockchain common stock, with such powers, rights, preferences, and privileges as they may designate;</w:t>
      </w:r>
    </w:p>
    <w:p>
      <w:pPr>
        <w:pStyle w:val="TextBody"/>
        <w:bidi w:val="0"/>
        <w:spacing w:lineRule="auto" w:line="240" w:before="0" w:after="0"/>
        <w:ind w:left="0" w:right="0" w:hanging="720"/>
        <w:jc w:val="left"/>
        <w:rPr/>
      </w:pPr>
      <w:r>
        <w:rPr>
          <w:color w:val="000000"/>
        </w:rPr>
        <w:t>•</w:t>
      </w:r>
      <w:r>
        <w:rPr>
          <w:rFonts w:ascii="Times New Roman;serif" w:hAnsi="Times New Roman;serif"/>
          <w:b w:val="false"/>
          <w:color w:val="000000"/>
          <w:sz w:val="20"/>
        </w:rPr>
        <w:t>provide that a majority of the members of the our Board of Directors shall constitute a quorum; provided that, for as long as Mr. Cagney beneficially owns more than 50% of the voting power of our capital stock, the chair of our Board of Directors must be present to constitute a quorum (unless such individual has recused themself from such board action);</w:t>
      </w:r>
    </w:p>
    <w:p>
      <w:pPr>
        <w:pStyle w:val="TextBody"/>
        <w:bidi w:val="0"/>
        <w:spacing w:lineRule="auto" w:line="240" w:before="0" w:after="0"/>
        <w:ind w:left="0" w:right="0" w:hanging="720"/>
        <w:jc w:val="left"/>
        <w:rPr/>
      </w:pPr>
      <w:r>
        <w:rPr>
          <w:color w:val="000000"/>
        </w:rPr>
        <w:t>•</w:t>
      </w:r>
      <w:r>
        <w:rPr>
          <w:rFonts w:ascii="Times New Roman;serif" w:hAnsi="Times New Roman;serif"/>
          <w:b w:val="false"/>
          <w:color w:val="000000"/>
          <w:sz w:val="20"/>
        </w:rPr>
        <w:t>provide that stockholders representing a majority of the voting power of our capital stock, represented in person or by proxy (regardless of whether the proxy has authority to vote on any matter), are necessary to constitute a quorum for the transaction of business at any meeting;</w:t>
      </w:r>
    </w:p>
    <w:p>
      <w:pPr>
        <w:pStyle w:val="TextBody"/>
        <w:bidi w:val="0"/>
        <w:spacing w:lineRule="auto" w:line="240" w:before="0" w:after="0"/>
        <w:ind w:left="0" w:right="0" w:hanging="720"/>
        <w:jc w:val="left"/>
        <w:rPr/>
      </w:pPr>
      <w:r>
        <w:rPr>
          <w:color w:val="000000"/>
        </w:rPr>
        <w:t>•</w:t>
      </w:r>
      <w:r>
        <w:rPr>
          <w:rFonts w:ascii="Times New Roman;serif" w:hAnsi="Times New Roman;serif"/>
          <w:b w:val="false"/>
          <w:color w:val="000000"/>
          <w:sz w:val="20"/>
        </w:rPr>
        <w:t>provide that the authorized number of directors may be changed only by resolution of the Board of Directors, provided that, for as long as Mr. Cagney beneficially owns more than 50% of the voting power of our capital stock, the authorized number of directors may also be changed by resolution of the Board of Directors or by holders of at least a majority of the voting power of our capital stock;</w:t>
      </w:r>
    </w:p>
    <w:p>
      <w:pPr>
        <w:pStyle w:val="TextBody"/>
        <w:bidi w:val="0"/>
        <w:spacing w:lineRule="auto" w:line="240" w:before="0" w:after="0"/>
        <w:ind w:left="0" w:right="0" w:hanging="720"/>
        <w:jc w:val="left"/>
        <w:rPr/>
      </w:pPr>
      <w:r>
        <w:rPr>
          <w:color w:val="000000"/>
        </w:rPr>
        <w:t>•</w:t>
      </w:r>
      <w:r>
        <w:rPr>
          <w:rFonts w:ascii="Times New Roman;serif" w:hAnsi="Times New Roman;serif"/>
          <w:b w:val="false"/>
          <w:color w:val="000000"/>
          <w:sz w:val="20"/>
        </w:rPr>
        <w:t>provide that all vacancies and newly created directorships, except as otherwise required by law, our governing documents or resolution of our Board of Directors, and subject to the rights of holders of our preferred stock or blockchain common stock, may only be filled by the affirmative vote of a majority of directors then in office, even if less than a quorum, provided that, for as long as Mr. Cagney beneficially owns more than 50% of the voting power of our capital stock, any vacancy may also be filled by holders of at least a majority of the voting power of our capital stock;</w:t>
      </w:r>
    </w:p>
    <w:p>
      <w:pPr>
        <w:pStyle w:val="TextBody"/>
        <w:bidi w:val="0"/>
        <w:spacing w:lineRule="auto" w:line="240" w:before="0" w:after="0"/>
        <w:ind w:left="0" w:right="0" w:hanging="720"/>
        <w:jc w:val="left"/>
        <w:rPr/>
      </w:pPr>
      <w:r>
        <w:rPr>
          <w:color w:val="000000"/>
        </w:rPr>
        <w:t>•</w:t>
      </w:r>
      <w:r>
        <w:rPr>
          <w:rFonts w:ascii="Times New Roman;serif" w:hAnsi="Times New Roman;serif"/>
          <w:b w:val="false"/>
          <w:color w:val="000000"/>
          <w:sz w:val="20"/>
        </w:rPr>
        <w:t>provide that if, and for so long as, our Board of Directors is classified, and subject to the rights of holders of our preferred stock or blockchain common stock, a director may only be removed from the Board of Directors by the stockholders for cause;</w:t>
      </w:r>
    </w:p>
    <w:p>
      <w:pPr>
        <w:pStyle w:val="TextBody"/>
        <w:bidi w:val="0"/>
        <w:spacing w:lineRule="auto" w:line="240" w:before="0" w:after="0"/>
        <w:ind w:left="0" w:right="0" w:hanging="720"/>
        <w:jc w:val="left"/>
        <w:rPr/>
      </w:pPr>
      <w:r>
        <w:rPr>
          <w:color w:val="000000"/>
        </w:rPr>
        <w:t>•</w:t>
      </w:r>
      <w:r>
        <w:rPr>
          <w:rFonts w:ascii="Times New Roman;serif" w:hAnsi="Times New Roman;serif"/>
          <w:b w:val="false"/>
          <w:color w:val="000000"/>
          <w:sz w:val="20"/>
        </w:rPr>
        <w:t>provide that, for as long as the holders of Class B common stock collectively own at least 10% of the issued and outstanding shares of common stock, the holders of Class B common stock shall have the right, but not the obligation, to nominate the majority of directors for election to our Board of Directors, and we shall include such nominees for election to our Board of Directors at all of our applicable annual or special meetings of stockholders (or consents in lieu of meetings) at which directors are to be elected (adjusted as appropriate to take into account our classified Board of Directors, if applicable);</w:t>
      </w:r>
    </w:p>
    <w:p>
      <w:pPr>
        <w:pStyle w:val="TextBody"/>
        <w:bidi w:val="0"/>
        <w:spacing w:lineRule="auto" w:line="240" w:before="0" w:after="0"/>
        <w:ind w:left="0" w:right="0" w:hanging="720"/>
        <w:jc w:val="left"/>
        <w:rPr/>
      </w:pPr>
      <w:r>
        <w:rPr>
          <w:color w:val="000000"/>
        </w:rPr>
        <w:t>•</w:t>
      </w:r>
      <w:r>
        <w:rPr>
          <w:rFonts w:ascii="Times New Roman;serif" w:hAnsi="Times New Roman;serif"/>
          <w:b w:val="false"/>
          <w:color w:val="000000"/>
          <w:sz w:val="20"/>
        </w:rPr>
        <w:t>require that any action to be taken by our stockholders must be effected at a duly called annual or special meeting of stockholders and not be taken by written consent, provided that, for as long as Mr. Cagney beneficially owns more than 50% of the voting power of our capital stock, any action to be taken by our stockholders may also be taken by written consent;</w:t>
      </w:r>
    </w:p>
    <w:p>
      <w:pPr>
        <w:pStyle w:val="TextBody"/>
        <w:bidi w:val="0"/>
        <w:spacing w:lineRule="auto" w:line="240" w:before="0" w:after="0"/>
        <w:ind w:left="0" w:right="0" w:hanging="720"/>
        <w:jc w:val="left"/>
        <w:rPr/>
      </w:pPr>
      <w:r>
        <w:rPr>
          <w:color w:val="000000"/>
        </w:rPr>
        <w:t>•</w:t>
      </w:r>
      <w:r>
        <w:rPr>
          <w:rFonts w:ascii="Times New Roman;serif" w:hAnsi="Times New Roman;serif"/>
          <w:b w:val="false"/>
          <w:color w:val="000000"/>
          <w:sz w:val="20"/>
        </w:rPr>
        <w:t>provide that stockholders seeking to present proposals before a meeting of stockholders or to nominate candidates for election as directors at a meeting of stockholders must provide notice in writing in a timely manner, and also meet specific requirements as to the form and content of a stockholder’s notice;</w:t>
      </w:r>
    </w:p>
    <w:p>
      <w:pPr>
        <w:pStyle w:val="TextBody"/>
        <w:bidi w:val="0"/>
        <w:spacing w:lineRule="auto" w:line="240" w:before="0" w:after="0"/>
        <w:ind w:left="0" w:right="0" w:hanging="720"/>
        <w:jc w:val="left"/>
        <w:rPr/>
      </w:pPr>
      <w:r>
        <w:rPr>
          <w:color w:val="000000"/>
        </w:rPr>
        <w:t>•</w:t>
      </w:r>
      <w:r>
        <w:rPr>
          <w:rFonts w:ascii="Times New Roman;serif" w:hAnsi="Times New Roman;serif"/>
          <w:b w:val="false"/>
          <w:color w:val="000000"/>
          <w:sz w:val="20"/>
        </w:rPr>
        <w:t>not provide for cumulative voting rights, therefore allowing the holders of a plurality of the shares of common stock entitled to vote in any election of directors to elect all of the directors standing for election;</w:t>
      </w:r>
    </w:p>
    <w:p>
      <w:pPr>
        <w:pStyle w:val="TextBody"/>
        <w:bidi w:val="0"/>
        <w:spacing w:lineRule="auto" w:line="240" w:before="0" w:after="0"/>
        <w:ind w:left="0" w:right="0" w:hanging="720"/>
        <w:jc w:val="left"/>
        <w:rPr/>
      </w:pPr>
      <w:r>
        <w:rPr>
          <w:color w:val="000000"/>
        </w:rPr>
        <w:t>•</w:t>
      </w:r>
      <w:r>
        <w:rPr>
          <w:rFonts w:ascii="Times New Roman;serif" w:hAnsi="Times New Roman;serif"/>
          <w:b w:val="false"/>
          <w:color w:val="000000"/>
          <w:sz w:val="20"/>
        </w:rPr>
        <w:t>provide that special meetings of our stockholders may be called only by the Board of Directors, the chairperson of the Board of Directors, our chief executive officer or president, provided that, for as long as Mr. Cagney beneficially owns more than 50% of the voting power of our capital stock, special meetings of our stockholders may also be called by holders of at least a majority of the voting power of our capital stock;</w:t>
      </w:r>
    </w:p>
    <w:p>
      <w:pPr>
        <w:pStyle w:val="TextBody"/>
        <w:bidi w:val="0"/>
        <w:spacing w:lineRule="auto" w:line="240" w:before="0" w:after="0"/>
        <w:ind w:left="0" w:right="0" w:hanging="720"/>
        <w:jc w:val="left"/>
        <w:rPr/>
      </w:pPr>
      <w:r>
        <w:rPr>
          <w:color w:val="000000"/>
        </w:rPr>
        <w:t>•</w:t>
      </w:r>
      <w:r>
        <w:rPr>
          <w:rFonts w:ascii="Times New Roman;serif" w:hAnsi="Times New Roman;serif"/>
          <w:b w:val="false"/>
          <w:color w:val="000000"/>
          <w:sz w:val="20"/>
        </w:rPr>
        <w:t>provide that stockholders will be permitted to amend certain provisions of our articles of incorporation and our bylaws only upon the approval of at least two-thirds of the voting power of our then outstanding capital stock entitled to vote, voting together as a single class, provided that, for as long as Mr. Cagney beneficially owns more than 50% of the voting power of our capital stock, stockholders holding at least a majority of the voting power of our capital stock, voting together as a single class, will be permitted to amend our bylaws and approve amendments to certain provisions of our articles of incorporation;</w:t>
      </w:r>
    </w:p>
    <w:p>
      <w:pPr>
        <w:pStyle w:val="TextBody"/>
        <w:bidi w:val="0"/>
        <w:spacing w:lineRule="auto" w:line="240" w:before="0" w:after="0"/>
        <w:ind w:left="0" w:right="0" w:hanging="720"/>
        <w:jc w:val="left"/>
        <w:rPr/>
      </w:pPr>
      <w:r>
        <w:rPr>
          <w:color w:val="000000"/>
        </w:rPr>
        <w:t>•</w:t>
      </w:r>
      <w:r>
        <w:rPr>
          <w:rFonts w:ascii="Times New Roman;serif" w:hAnsi="Times New Roman;serif"/>
          <w:b w:val="false"/>
          <w:color w:val="000000"/>
          <w:sz w:val="20"/>
        </w:rPr>
        <w:t>provide that if any bank holding company subject to the provisions of the Bank Holding Company Act of 1956, as amended (the “BHCA”), or any of its “Affiliates” (as defined in § 225.2(a) of Federal Reserve Board’s implementing Regulation Y thereunder (“Regulation Y”)) (each, a “Regulated Holder”) owns, controls or has power to vote our “Voting Securities” (as defined in§ 225.2(q)(1) of Regulation Y) that, but for the limitations on the voting rights of Regulated Holders provided herein, would constitute more than 4.99% of the voting rights of a “Class of Voting Shares” (as defined in§ 225.2(q)(3) of Regulation Y), then a Regulated Holder may only transfer such securities held by it (a) to us or one of our affiliates, (b) as part of a widespread public distribution, (c) as part of a bona fide transfer in which no single person acquires the right to purchase 2% of any our Voting Securities, or (d) to a party who would control more than 50% of our Voting Securities; and</w:t>
      </w:r>
    </w:p>
    <w:p>
      <w:pPr>
        <w:pStyle w:val="TextBody"/>
        <w:bidi w:val="0"/>
        <w:spacing w:lineRule="auto" w:line="240" w:before="0" w:after="240"/>
        <w:ind w:left="0" w:right="0" w:hanging="720"/>
        <w:jc w:val="left"/>
        <w:rPr/>
      </w:pPr>
      <w:r>
        <w:rPr>
          <w:color w:val="000000"/>
        </w:rPr>
        <w:t>•</w:t>
      </w:r>
      <w:r>
        <w:rPr>
          <w:rFonts w:ascii="Times New Roman;serif" w:hAnsi="Times New Roman;serif"/>
          <w:b w:val="false"/>
          <w:color w:val="000000"/>
          <w:sz w:val="20"/>
        </w:rPr>
        <w:t xml:space="preserve">provide that to the extent that a Regulated Holder would be entitled to greater than 33.33% of our “Total Equity” (as defined in, and calculated pursuant to, § 225.34 of Regulation Y) upon the acquisition of control over our equity instruments (including, but not limited to, common stock, blockchain common stock and preferred stock) by such Regulated Holder, notwithstanding anything to the contrary, in lieu of such amount of our Total Equity in excess of 33.33%, the Regulated Holder shall receive from us a cash </w: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Exhibit 4.5</w:t>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480175" cy="292100"/>
                <wp:effectExtent l="0" t="0" r="0" b="0"/>
                <wp:wrapNone/>
                <wp:docPr id="196" name="Frame194"/>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|US-DOCS\168558532.4||    | 079345-0005||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437.55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|US-DOCS\168558532.4||    | 079345-0005||</w:t>
                      </w:r>
                    </w:p>
                  </w:txbxContent>
                </v:textbox>
                <w10:wrap type="none"/>
              </v:rect>
            </w:pict>
          </mc:Fallback>
        </mc:AlternateContent>
      </w:r>
    </w:p>
    <w:p>
      <w:pPr>
        <w:pStyle w:val="TextBody"/>
        <w:bidi w:val="0"/>
        <w:spacing w:lineRule="auto" w:line="240" w:before="0" w:after="240"/>
        <w:jc w:val="left"/>
        <w:rPr>
          <w:rFonts w:ascii="Times New Roman;serif" w:hAnsi="Times New Roman;serif"/>
          <w:b w:val="false"/>
          <w:color w:val="000000"/>
          <w:sz w:val="20"/>
        </w:rPr>
      </w:pPr>
      <w:r>
        <w:rPr>
          <w:rFonts w:ascii="Times New Roman;serif" w:hAnsi="Times New Roman;serif"/>
          <w:b w:val="false"/>
          <w:color w:val="000000"/>
          <w:sz w:val="20"/>
        </w:rPr>
        <w:t>payment equal to the equivalent to the then current fair market value of such amount in excess of 33.33% of our Total Equity.</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Exclusive Forum</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articles of incorporation and bylaws provide that, to the fullest extent permitted by law, and unless we consent in writing to the selection of an alternative forum, the Eighth Judicial District Court of Clark County, Nevada, is the sole and exclusive forum for any actions, suits or proceedings, whether civil, administrative or investigative, including (i) any derivative action or proceeding brought on our behalf; (ii) any action asserting a claim of breach of a fiduciary duty owed by any of our directors, stockholders, officers or other employees to us or our stockholders; (iii) any action arising pursuant to any provision of NRS Chapters 78 or 92A or any provision of our articles of incorporation or bylaws; (iv) to interpret, apply, enforce or determine the validity of our articles of incorporation and bylaws; or (v) asserting a claim governed by the internal affairs doctrine; provided that the exclusive forum provisions will not apply to suits brought to enforce any liability or duty created by the Securities Act or the Exchange Act, or to any claim for which the federal courts have exclusive jurisdiction. Our articles of incorporation and bylaws further provide that, in the event that the Eighth Judicial District Court of Clark County, Nevada does not have jurisdiction over any such action, suit or proceeding, then any other state district court located in the State of Nevada will be the sole and exclusive forum therefor and in the event that no state district court in the State of Nevada has jurisdiction over any such action, suit or proceeding, then a federal court located within the State of Nevada will be the sole and exclusive forum therefor. Although we believe these provisions benefit us by providing increased consistency in the application of Nevada law in the types of lawsuits to which they apply, the provisions may have the effect of discouraging lawsuits against our directors and officers. Any person or entity purchasing or otherwise acquiring or holding or owning (or continuing to hold or own) any interest in any of our securities shall be deemed to have notice of and consented to the foregoing bylaw provisions. Our stockholders will not be deemed to have waived our compliance with the federal securities laws and the rules and regulations thereunder as a result of our exclusive forum provisions.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Transfer Agent and Registrar</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transfer agent and registrar for our Class A common stock and Class B common stock is Equiniti Trust Company, LLC, which is located at 48 Wall Street, 23rd Floor, New York, New York 10043. Transfer agent and registrar for our Series A Blockchain Common Stock is Figure Equity Solutions, Inc., which is located at 100 West Liberty Street, Suite 600, Reno, Nevada 89501.</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Listing</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Class A common stock is listed on the NASDAQ under the symbol “FIGR.” Our Class A common stock does not trade on our ATS.</w: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Exhibit 4.5</w:t>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480175" cy="292100"/>
                <wp:effectExtent l="0" t="0" r="0" b="0"/>
                <wp:wrapNone/>
                <wp:docPr id="197" name="Frame195"/>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|US-DOCS\168558532.4||    | 079345-0005||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437.55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|US-DOCS\168558532.4||    | 079345-0005||</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Description of Blockchain Stock</w:t>
      </w:r>
    </w:p>
    <w:p>
      <w:pPr>
        <w:pStyle w:val="TextBody"/>
        <w:bidi w:val="0"/>
        <w:spacing w:lineRule="auto" w:line="288" w:before="0" w:after="24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The following description is a summary of certain provisions of our Series A Blockchain Common Stock, par value $0.0001 per share, which we refer to as our “blockchain stock.” The following summary of the terms of the blockchain stock is not complete and is subject to, and qualified in its entirety by reference to, the provisions of the certificate of designation governing the terms of the blockchain stock (the “Certificate of Designation”) and our articles of incorporation.</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General</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Under our articles of incorporation, our Board of Directors is authorized to provide, out of the unissued shares of blockchain common stock, for one or more series of blockchain common stock and, with respect to each series, to fix, without stockholder approval, the designation of such series, the powers (including voting powers), preferences and other rights, and the qualifications, limitations, or restrictions thereof, of such series of blockchain common stock and the number of shares of such series.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series of blockchain common stock is designated in the Certificate of Designation as our Series A Blockchain Common Stock, which we refer to as “blockchain stock.”</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blockchain stock and our Class A common stock issuable upon conversion thereof is validly issued, fully paid and nonassessable and free of preemptive rights. The holders of blockchain stock have no preferential rights to purchase or subscribe for any class of our stock, obligations, warrants or other securities, although the shares of blockchain stock are convertible into shares of Class A common stock at the option of the holder at any time. </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Ranking</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blockchain stock, with respect to dividend rights and/or distribution rights upon liquidation, dissolution or winding-up, as applicable, rank on parity with (i) our Class A common stock and (ii) any series of blockchain common stock designated in the future that, by its terms, expressly provides that such series rank on parity with our Series A Blockchain Common Stock with respect to dividend rights or distribution rights, or upon liquidation, dissolution or winding-up, as applicable.</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Trading and Transfers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blockchain stock is not listed for trading on the NASDAQ or any other national securities exchange. However, the blockchain stock is eligible for trading on our ATS, which is operated by our subsidiary, Figure Securities. The availability of trading of the blockchain stock on our ATS does not guarantee that a trading market will develop or, the depth or liquidity of that market or the ability of holders to sell the blockchain stock easily.</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ATS is the only trading venue on which shares of blockchain stock is currently traded. This is based on current market structure and availability, and not on legal or technical restrictions imposed by us that prohibit trading on other venues. Subject to applicable law and the rules and requirements of any such venue, third parties may in the future develop alternative trading mechanisms, including structures that reference, represent or are otherwise based on blockchain stock, and trading in blockchain stock (or instruments linked thereto) could occur on venues other than our ATS.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Holders may also transfer blockchain stock directly to other permitted holders in peer-to-peer transactions on the Provenance Blockchain, outside of our ATS. In a peer-to-peer transfer, the transferring holder initiates a transfer of blockchain stock from its wallet to the recipient’s wallet, and the transfer is recorded and settled on the Provenance Blockchain. Peer-to-peer transfers must be initiated by holders directly through their Provenance </w: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Exhibit 4.5</w:t>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480175" cy="292100"/>
                <wp:effectExtent l="0" t="0" r="0" b="0"/>
                <wp:wrapNone/>
                <wp:docPr id="198" name="Frame196"/>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|US-DOCS\168558532.4||    | 079345-0005||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437.55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|US-DOCS\168558532.4||    | 079345-0005||</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Blockchain wallets. Holders engaging in peer-to-peer transfers not involving transactions executed on our ATS are responsible for any applicable HASH fees required by the Provenance Blockchain to process the transfers.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Blockchain stock is transferable only to wallets on the Provenance Blockchain that have gone through a Know Your Customer and anti-money laundering onboarding process, consistent with applicable U.S. federal and state financial regulatory requirements, which we refer to as “permitted holders.” The blockchain stock may be held only on the Provenance Blockchain. We as well as third party technology providers offer wallet software that is compatible with the Provenance Blockchain. All Provenance Blockchain wallets offered by Figure are self-custodial wallets, and we do not offer custodial wallets. There is currently no permissible method under Nevada law by which blockchain stock can be freely transferred to record owners that are not permitted holders. </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Dividend</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Subject to preferences that may apply to any shares of preferred stock or other series of blockchain common stock, the holders of the blockchain stock are entitled to receive dividends and other distributions out of funds legally available if and to the extent our Board of Directors, in its discretion, determines to issue dividends and other distributions to holders of our Class A common stock.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lieu of fiat currency, we may also determine to pay holders of the blockchain stock the dividends or other distributions they are entitled to in the form of a dollar-based digital asset on a blockchain network having substantially equivalent value. Such distributions can be effected through the Provenance Blockchain on a pro rata basis. In the case of cash dividends, we expect to deliver a blockchain-based representation of the applicable dividend amount (for example, in payment stablecoins (such as USDC) or YLDS), to the wallets of eligible holders of the blockchain stock. In the case of distributions in kind, including distributions of equity securities, we expect to deliver a blockchain-based representation of the distributed securities to the wallets of eligible holders of the blockchain stock.</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Redemption and Sinking Fund</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Blockchain stock are not redeemable, and are not subject to sinking fund or similar provisions. However, holders of blockchain stock may convert their shares into shares of our Class A common stock on a one-for-one basis.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At our option, we may also purchase or exchange blockchain stock from time to time in the open market, by tender or exchange offer or otherwise, without the consent of, or notice to, any of the holders.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Liquidation Rights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Blockchain stock are not entitled to any liquidation preference. If we become subject to a liquidation, dissolution or winding-up, the assets legally available for distribution to our stockholders would be distributable ratably among the holders of our blockchain stock, common stock and any participating preferred stock or other series of blockchain common stock outstanding at that time, subject to prior satisfaction of all outstanding debt and liabilities and the preferential rights of and the payment of liquidation preferences, if any, on any outstanding shares of preferred stock or other series of blockchain common stock.</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Voting Rights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Holders of our blockchain stock are entitled to one vote per share held as of the applicable record date on all matters submitted to a vote of the holders of our blockchain stock, and are able to cast their vote or abstain from voting over the Provenance Blockchain using their self-custodial wallets or Compatible Wallets. The holders of our blockchain stock, Class A common stock and Class B common stock generally vote together as a single class on all matters submitted to a vote of our stockholders, unless otherwise required by Nevada law or our articles of incorporation. Nevada law requires holders of our blockchain stock to vote separately as a single class if we were to seek to amend the Certificate of Designation, and Nevada law could require a separate class vote of our blockchain </w: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Exhibit 4.5</w:t>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480175" cy="292100"/>
                <wp:effectExtent l="0" t="0" r="0" b="0"/>
                <wp:wrapNone/>
                <wp:docPr id="199" name="Frame197"/>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|US-DOCS\168558532.4||    | 079345-0005||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437.55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|US-DOCS\168558532.4||    | 079345-0005||</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stock if we were to seek to amend our articles of incorporation in a manner that alters or changes the powers, preferences, or special rights of the blockchain stock in a manner that affected the blockchain stock adversely but does not so affect the common stock.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Holders of fractional shares of blockchain stock are entitled to cast votes on a proportional basis, including fractional votes, consistent with the number of shares of blockchain stock held as of the applicable record date. The process for casting or abstaining from votes for holders of fractional shares is the same as for holders of whole shares, including through self-custodial wallets or Compatible Wallets.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stockholders do not have the ability to cumulate votes for the election of directors. As a result, the holders of a plurality of the voting power of the shares present in person or represented by proxy at the meeting and entitled to vote on the election of directors have the ability to elect all of the directors standing for election. Except as otherwise provided by law, our governing documents or the rules of the stock exchange on which our securities are listed, at any meeting of the stockholders at which a quorum is present or represented, a proposed action by the stockholders on a matter other than the election of directors will be approved if the number of votes cast in favor of the action exceeds the number of votes cast in opposition to the action. The holders of a majority of the voting power of the capital stock issued and outstanding and entitled to vote as of the applicable record date, present in person or represented by proxy (regardless of whether the proxy has authority to vote on any matter), shall constitute a quorum for the transaction of business at all meetings of the stockholders.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Conversion</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blockchain stock may be converted into shares of our Class A common stock at any time at the election of the holder. Each whole share of blockchain stock may be converted into one whole share of our Class A common stock.</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holder can effect a conversion by providing us with a notice of conversion that specifies the number of shares of blockchain stock to be converted, the number of shares of blockchain stock owned prior to the conversion, the number of shares of blockchain stock to be owned after the conversion, and the date on which the conversion is to take place. The Class A common stock issuable upon the conversion of blockchain stock will be delivered to the converting holder through book-entry transfer through the facilities of the Depository Trust Company. The shares of Class A common stock issuable upon the conversion will be registered by book-entry on the books and records of Equiniti Trust Company, LLC.</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converting holder will be treated as the record holder of such shares as of 5:00 p.m., New York City time, on the date such conversion occurs. Prior to such time, the Class A common stock issuable upon conversion of the blockchain stock will not be deemed to be outstanding for any purpose and the holder of blockchain stock will have no rights, powers or preferences with respect to such Class A common stock, including voting powers, rights to respond to tender offers and rights to receive any dividends or other distributions on the Class A common stock, by virtue of holding the blockchain stock.</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a holder converts its blockchain stock into Class A common stock, we will pay any documentary, stamp or similar issue or transfer tax on the conversion, unless the tax is due because the holder requests such shares of Class A common stock to be issued in a name other than the holder’s name, in which case the holder will pay the tax.</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Exchange</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Shares of our Class A common stock are not convertible into shares of blockchain stock. However, to facilitate the trading and price parity of blockchain stock and Class A common stock, we have offered to all holders of our Class A common stock the option to exchange their whole shares of Class A common stock for an equal number of whole shares of blockchain stock in transactions that are exempt from registration pursuant to Section 3(a)(9) of the Securities Act (provided that a sufficient number of authorized but unissued shares of Blockchain Common Stock is available to effect such exchange). Similarly, we have offered to all holders of our </w: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Exhibit 4.5</w:t>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480175" cy="292100"/>
                <wp:effectExtent l="0" t="0" r="0" b="0"/>
                <wp:wrapNone/>
                <wp:docPr id="200" name="Frame198"/>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|US-DOCS\168558532.4||    | 079345-0005||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437.55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|US-DOCS\168558532.4||    | 079345-0005||</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blockchain stock the option to exchange their whole shares of blockchain stock for an equal number of whole shares of Class A common stock in transactions that are exempt from registration pursuant to Section 3(a)(9) of the Securities Act. We do not expect to charge a fee for either exchange.</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Fractional Shares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with other digital tokens on the Provenance blockchain, shares of blockchain stock may be divisible and represented with precision of up to nine decimal places and may be held in fractional quantities within wallets compatible with the Provenance Blockchain.</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However, only whole shares of blockchain stock may be converted into whole shares of our Class A common stock, and no fractional shares of our Class A common stock will be issued to holders of the blockchain stock upon conversion. </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Recapitalizations, Reclassifications and Changes in Our Class A Common Stock</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the event of:</w:t>
      </w:r>
    </w:p>
    <w:p>
      <w:pPr>
        <w:pStyle w:val="TextBody"/>
        <w:bidi w:val="0"/>
        <w:spacing w:lineRule="auto" w:line="240" w:before="0" w:after="0"/>
        <w:ind w:left="0" w:right="0" w:hanging="720"/>
        <w:jc w:val="left"/>
        <w:rPr/>
      </w:pPr>
      <w:r>
        <w:rPr>
          <w:color w:val="000000"/>
        </w:rPr>
        <w:t>•</w:t>
      </w:r>
      <w:r>
        <w:rPr>
          <w:rFonts w:ascii="Times New Roman;serif" w:hAnsi="Times New Roman;serif"/>
          <w:b w:val="false"/>
          <w:color w:val="000000"/>
          <w:sz w:val="20"/>
        </w:rPr>
        <w:t>any consolidation or merger of us with or into another person;</w:t>
      </w:r>
    </w:p>
    <w:p>
      <w:pPr>
        <w:pStyle w:val="TextBody"/>
        <w:bidi w:val="0"/>
        <w:spacing w:lineRule="auto" w:line="240" w:before="0" w:after="0"/>
        <w:ind w:left="0" w:right="0" w:hanging="720"/>
        <w:jc w:val="left"/>
        <w:rPr/>
      </w:pPr>
      <w:r>
        <w:rPr>
          <w:color w:val="000000"/>
        </w:rPr>
        <w:t>•</w:t>
      </w:r>
      <w:r>
        <w:rPr>
          <w:rFonts w:ascii="Times New Roman;serif" w:hAnsi="Times New Roman;serif"/>
          <w:b w:val="false"/>
          <w:color w:val="000000"/>
          <w:sz w:val="20"/>
        </w:rPr>
        <w:t>any sale, transfer, lease or conveyance to another person of all or substantially all of our property and assets;</w:t>
      </w:r>
    </w:p>
    <w:p>
      <w:pPr>
        <w:pStyle w:val="TextBody"/>
        <w:bidi w:val="0"/>
        <w:spacing w:lineRule="auto" w:line="240" w:before="0" w:after="0"/>
        <w:ind w:left="0" w:right="0" w:hanging="720"/>
        <w:jc w:val="left"/>
        <w:rPr/>
      </w:pPr>
      <w:r>
        <w:rPr>
          <w:color w:val="000000"/>
        </w:rPr>
        <w:t>•</w:t>
      </w:r>
      <w:r>
        <w:rPr>
          <w:rFonts w:ascii="Times New Roman;serif" w:hAnsi="Times New Roman;serif"/>
          <w:b w:val="false"/>
          <w:color w:val="000000"/>
          <w:sz w:val="20"/>
        </w:rPr>
        <w:t xml:space="preserve">any reclassification of our Class A common stock into securities, including securities other than our Class A common stock; or </w:t>
      </w:r>
    </w:p>
    <w:p>
      <w:pPr>
        <w:pStyle w:val="TextBody"/>
        <w:bidi w:val="0"/>
        <w:spacing w:lineRule="auto" w:line="240" w:before="0" w:after="240"/>
        <w:ind w:left="0" w:right="0" w:hanging="720"/>
        <w:jc w:val="left"/>
        <w:rPr/>
      </w:pPr>
      <w:r>
        <w:rPr>
          <w:color w:val="000000"/>
        </w:rPr>
        <w:t>•</w:t>
      </w:r>
      <w:r>
        <w:rPr>
          <w:rFonts w:ascii="Times New Roman;serif" w:hAnsi="Times New Roman;serif"/>
          <w:b w:val="false"/>
          <w:color w:val="000000"/>
          <w:sz w:val="20"/>
        </w:rPr>
        <w:t>any statutory exchange of our securities with another person (other than in connection with a merger or acquisition),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 each case, as a result of which our Class A common stock would be converted into, or exchanged for, stock, other securities or other property or assets (including cash or any combination thereof) (each, a “Reorganization Event”), each share of blockchain stock outstanding immediately prior to such Reorganization Event shall, without the consent of the holders of the blockchain stock, become convertible into the kind of stock, other securities or other property or assets (including cash or any combination thereof) that such holder would have been entitled to receive if such holder had converted its blockchain stock into Class A common stock immediately prior to such Reorganization Event (such stock, other securities or other property or assets (including cash or any combination thereof), the “Exchange Property,” with each “Unit of Exchange Property” meaning the kind and amount of Exchange Property that a holder of one share of Class A common stock is entitled to receive).</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the transaction causes our Class A common stock to be converted into, or exchanged for, the right to receive more than a single type of consideration (determined based in part upon any form of stockholder election), the Exchange Property into which the blockchain stock will be convertible will be deemed to be the weighted average of the types and amounts of consideration actually received by the holders of our Class A common stock.</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will notify holders of the blockchain stock of the weighted average referred as soon as practicable after such determination is made.</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number of “Units of Exchange Property” we will deliver for each share of the blockchain stock converted following the effective date of such Reorganization Event will be determined as if references to our Class A common stock in the description of the conversion rate under “-Conversion” above were to Units of Exchange Property (without interest thereon and without any right to dividends or distributions thereon which have a record date prior to the date on which holders of the blockchain stock become holders of the underlying shares of our Class A common stock). The value of a Unit of Exchange Property will be determined in good faith by our Board of Directors or an authorized committee thereof (which determination will be final), except that if a Unit of Exchange Property includes common stock or American Depositary Receipts, or “ADRs,” that are traded on a U.S. national securities exchange, the value of such common stock or ADRs will be the average over the 20 consecutive Trading Day period immediately prior to the date of determination, as displayed on the applicable Bloomberg screen (as determined in good faith by our Board of Directors or an authorized committee thereof (which determination will be </w: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Exhibit 4.5</w:t>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480175" cy="292100"/>
                <wp:effectExtent l="0" t="0" r="0" b="0"/>
                <wp:wrapNone/>
                <wp:docPr id="201" name="Frame199"/>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|US-DOCS\168558532.4||    | 079345-0005||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437.55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|US-DOCS\168558532.4||    | 079345-0005||</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conclusive and final)); or, if such price is not available, the average market value per share of such common stock or ADRs over such period as determined, using a volume-weighted average method, by a nationally recognized independent investment banking firm retained by us for this purpose. The provisions described above will apply to successive Reorganization Events.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(or any successor to us) will, as soon as reasonably practicable (but in any event within 20 calendar days) after the occurrence of any Reorganization Event, provide written notice to the holders of the blockchain stock of such occurrence and of the kind and amount of cash, securities or other property that constitute the Exchange Property. Failure to deliver such notice will not affect the operation of the provisions described in this section.</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It is possible that certain consolidations, mergers, combinations or other transactions could result in tax gains or losses to the holders either as a result of the transaction or the conversion thereafter. Holders are encouraged to consult with their own tax advisors regarding the tax consequences of the ownership, disposition and conversion of the blockchain stock.</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Notices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will send all notices or communications to holders of the blockchain stock pursuant to the Certificate of Designation in the same manner that notices or communications are sent to holders of our Class A common stock pursuant to our articles of incorporation, our bylaws, and the NRS.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Reservation of Shares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will at all times reserve and keep available out of the authorized and unissued shares of Class A common stock, solely for issuance upon conversion of the blockchain stock, the maximum number of shares of our Class A common stock as shall be issuable from time to time upon the conversion of all the shares of the blockchain stock then outstanding.</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Transfer Agent and Registrar</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Figure Equity Solutions, Inc. is the transfer agent and registrar for the blockchain stock.</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Recordkeeping</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Figure Equity Solutions, Inc., the transfer agent and registrar for the blockchain stock, utilizes a combination of on-chain and off-chain records in connection with the blockchain stock. Personally identifiable information (“PII”) of holders is maintained off-chain, while wallet addresses, blockchain stock balances and records of trades and transfers are maintained on-chain on the Provenance Blockchain. Figure Equity Solutions, Inc. maintains the Master Security Holder File and Control Book, which link the off-chain PII with the corresponding on-chain records. In connection with peer-to-peer transfers and transactions executed on our ATS, Figure Equity Solutions, Inc. is responsible for maintaining and reconciling these records.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Beneficial Ownership Reporting Requirements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blockchain stock and the Class A common stock are separate classes of securities, and the blockchain stock has a separate CUSIP number. However, because the blockchain stock is convertible into Class A common stock at any time at the option of the holder, any holder of blockchain stock will be deemed to be the beneficial owner of Class A common stock for purposes of U.S. federal securities laws.</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6480175" cy="292100"/>
                <wp:effectExtent l="0" t="0" r="0" b="0"/>
                <wp:wrapNone/>
                <wp:docPr id="202" name="Frame200"/>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|US-DOCS\168558532.4||    | 079345-0005||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|US-DOCS\168558532.4||    | 079345-0005||</w:t>
                      </w:r>
                    </w:p>
                  </w:txbxContent>
                </v:textbox>
                <w10:wrap type="none"/>
              </v:rect>
            </w:pict>
          </mc:Fallback>
        </mc:AlternateContent>
      </w:r>
    </w:p>
    <w:p>
      <w:pPr>
        <w:pStyle w:val="TextBody"/>
        <w:bidi w:val="0"/>
        <w:spacing w:before="9" w:after="283"/>
        <w:jc w:val="left"/>
        <w:rPr/>
      </w:pPr>
      <w:r>
        <w:rPr/>
      </w:r>
    </w:p>
    <w:p>
      <w:pPr>
        <w:pStyle w:val="TextBody"/>
        <w:bidi w:val="0"/>
        <w:spacing w:lineRule="auto" w:line="288" w:before="169" w:after="283"/>
        <w:jc w:val="right"/>
        <w:rPr>
          <w:rFonts w:ascii="Times New Roman;serif" w:hAnsi="Times New Roman;serif"/>
          <w:b w:val="false"/>
          <w:color w:val="000000"/>
          <w:sz w:val="24"/>
        </w:rPr>
      </w:pPr>
      <w:r>
        <w:rPr>
          <w:rFonts w:ascii="Times New Roman;serif" w:hAnsi="Times New Roman;serif"/>
          <w:b w:val="false"/>
          <w:color w:val="000000"/>
          <w:sz w:val="24"/>
        </w:rPr>
        <w:t>FT Intermediate, Inc.</w:t>
      </w:r>
    </w:p>
    <w:p>
      <w:pPr>
        <w:pStyle w:val="TextBody"/>
        <w:bidi w:val="0"/>
        <w:spacing w:lineRule="auto" w:line="300" w:before="20" w:after="283"/>
        <w:ind w:left="0" w:right="0" w:hanging="713"/>
        <w:jc w:val="right"/>
        <w:rPr>
          <w:rFonts w:ascii="Times New Roman;serif" w:hAnsi="Times New Roman;serif"/>
          <w:b w:val="false"/>
          <w:color w:val="000000"/>
          <w:sz w:val="24"/>
        </w:rPr>
      </w:pPr>
      <w:r>
        <w:rPr>
          <w:rFonts w:ascii="Times New Roman;serif" w:hAnsi="Times New Roman;serif"/>
          <w:b w:val="false"/>
          <w:color w:val="000000"/>
          <w:sz w:val="24"/>
        </w:rPr>
        <w:t>650 California Street, Suite 2700 San Francisco, CA 94108</w:t>
      </w:r>
    </w:p>
    <w:p>
      <w:pPr>
        <w:pStyle w:val="TextBody"/>
        <w:bidi w:val="0"/>
        <w:spacing w:lineRule="auto" w:line="288" w:before="259" w:after="283"/>
        <w:jc w:val="left"/>
        <w:rPr>
          <w:rFonts w:ascii="Times New Roman;serif" w:hAnsi="Times New Roman;serif"/>
          <w:b w:val="false"/>
          <w:color w:val="202020"/>
          <w:sz w:val="24"/>
        </w:rPr>
      </w:pPr>
      <w:r>
        <w:rPr>
          <w:rFonts w:ascii="Times New Roman;serif" w:hAnsi="Times New Roman;serif"/>
          <w:b w:val="false"/>
          <w:color w:val="202020"/>
          <w:sz w:val="24"/>
        </w:rPr>
        <w:t>April 15, 2024</w:t>
      </w:r>
    </w:p>
    <w:p>
      <w:pPr>
        <w:pStyle w:val="TextBody"/>
        <w:bidi w:val="0"/>
        <w:spacing w:lineRule="auto" w:line="288" w:before="21" w:after="283"/>
        <w:jc w:val="left"/>
        <w:rPr/>
      </w:pPr>
      <w:r>
        <w:rPr>
          <w:rFonts w:ascii="Times New Roman;serif" w:hAnsi="Times New Roman;serif"/>
          <w:b w:val="false"/>
          <w:color w:val="202020"/>
          <w:sz w:val="24"/>
        </w:rPr>
        <w:t xml:space="preserve">Michael </w:t>
      </w:r>
      <w:r>
        <w:rPr>
          <w:rFonts w:ascii="Times New Roman;serif" w:hAnsi="Times New Roman;serif"/>
          <w:b w:val="false"/>
          <w:color w:val="212121"/>
          <w:sz w:val="24"/>
        </w:rPr>
        <w:t>Tannenbaum</w:t>
      </w:r>
    </w:p>
    <w:p>
      <w:pPr>
        <w:pStyle w:val="TextBody"/>
        <w:bidi w:val="0"/>
        <w:spacing w:before="24" w:after="283"/>
        <w:jc w:val="left"/>
        <w:rPr/>
      </w:pPr>
      <w:r>
        <w:rPr/>
      </w:r>
    </w:p>
    <w:p>
      <w:pPr>
        <w:pStyle w:val="TextBody"/>
        <w:bidi w:val="0"/>
        <w:spacing w:before="24" w:after="283"/>
        <w:jc w:val="left"/>
        <w:rPr/>
      </w:pPr>
      <w:r>
        <w:rPr/>
      </w:r>
    </w:p>
    <w:p>
      <w:pPr>
        <w:pStyle w:val="TextBody"/>
        <w:bidi w:val="0"/>
        <w:spacing w:lineRule="auto" w:line="288" w:before="24" w:after="283"/>
        <w:jc w:val="left"/>
        <w:rPr/>
      </w:pPr>
      <w:r>
        <w:rPr>
          <w:rFonts w:ascii="Times New Roman;serif" w:hAnsi="Times New Roman;serif"/>
          <w:b w:val="false"/>
          <w:color w:val="000000"/>
          <w:sz w:val="24"/>
        </w:rPr>
        <w:t xml:space="preserve">Dear </w:t>
      </w:r>
      <w:r>
        <w:rPr>
          <w:rFonts w:ascii="Times New Roman;serif" w:hAnsi="Times New Roman;serif"/>
          <w:b w:val="false"/>
          <w:color w:val="202020"/>
          <w:sz w:val="24"/>
        </w:rPr>
        <w:t>Michael</w:t>
      </w:r>
      <w:r>
        <w:rPr>
          <w:rFonts w:ascii="Times New Roman;serif" w:hAnsi="Times New Roman;serif"/>
          <w:b w:val="false"/>
          <w:color w:val="000000"/>
          <w:sz w:val="24"/>
        </w:rPr>
        <w:t>:</w:t>
      </w:r>
    </w:p>
    <w:p>
      <w:pPr>
        <w:pStyle w:val="TextBody"/>
        <w:bidi w:val="0"/>
        <w:spacing w:before="0" w:after="0"/>
        <w:ind w:left="0" w:right="0" w:hanging="10"/>
        <w:jc w:val="both"/>
        <w:rPr/>
      </w:pPr>
      <w:r>
        <w:rPr/>
      </w:r>
    </w:p>
    <w:p>
      <w:pPr>
        <w:pStyle w:val="TextBody"/>
        <w:bidi w:val="0"/>
        <w:spacing w:lineRule="auto" w:line="285" w:before="0" w:after="0"/>
        <w:ind w:left="0" w:right="0" w:hanging="10"/>
        <w:jc w:val="both"/>
        <w:rPr>
          <w:rFonts w:ascii="Times New Roman;serif" w:hAnsi="Times New Roman;serif"/>
          <w:b w:val="false"/>
          <w:color w:val="000000"/>
          <w:sz w:val="24"/>
        </w:rPr>
      </w:pPr>
      <w:r>
        <w:rPr>
          <w:rFonts w:ascii="Times New Roman;serif" w:hAnsi="Times New Roman;serif"/>
          <w:b w:val="false"/>
          <w:color w:val="000000"/>
          <w:sz w:val="24"/>
        </w:rPr>
        <w:t>FT Intermediate, Inc., a Delaware corporation (along with its subsidiaries, affiliates, successors or assigns, “Figure” or “Company”), is pleased to offer you employment. This employment letter agreement (this “Agreement”) memorializes the terms of your employment and your compensation arrangement with Figure.</w:t>
      </w:r>
    </w:p>
    <w:p>
      <w:pPr>
        <w:pStyle w:val="TextBody"/>
        <w:bidi w:val="0"/>
        <w:spacing w:lineRule="auto" w:line="288" w:before="269" w:after="283"/>
        <w:ind w:left="0" w:right="0" w:hanging="721"/>
        <w:jc w:val="both"/>
        <w:rPr/>
      </w:pPr>
      <w:r>
        <w:rPr>
          <w:rFonts w:ascii="Times New Roman;serif" w:hAnsi="Times New Roman;serif"/>
          <w:b w:val="false"/>
          <w:color w:val="000000"/>
          <w:sz w:val="24"/>
        </w:rPr>
        <w:t>1.</w:t>
      </w:r>
      <w:r>
        <w:rPr>
          <w:rFonts w:ascii="Times New Roman;serif" w:hAnsi="Times New Roman;serif"/>
          <w:b/>
          <w:color w:val="000000"/>
          <w:sz w:val="24"/>
          <w:u w:val="single"/>
        </w:rPr>
        <w:t>Effective Date</w:t>
      </w:r>
      <w:r>
        <w:rPr>
          <w:rFonts w:ascii="Times New Roman;serif" w:hAnsi="Times New Roman;serif"/>
          <w:b w:val="false"/>
          <w:color w:val="000000"/>
          <w:sz w:val="24"/>
        </w:rPr>
        <w:t xml:space="preserve">. The terms of this Agreement are effective as of your start date of </w:t>
      </w:r>
      <w:r>
        <w:rPr>
          <w:rFonts w:ascii="Times New Roman;serif" w:hAnsi="Times New Roman;serif"/>
          <w:b w:val="false"/>
          <w:color w:val="202020"/>
          <w:sz w:val="24"/>
        </w:rPr>
        <w:t xml:space="preserve">April 22, 2024, </w:t>
      </w:r>
      <w:r>
        <w:rPr>
          <w:rFonts w:ascii="Times New Roman;serif" w:hAnsi="Times New Roman;serif"/>
          <w:b w:val="false"/>
          <w:color w:val="000000"/>
          <w:sz w:val="24"/>
        </w:rPr>
        <w:t>or any later date that Figure may agree to pursuant to Section 11 below (the “Effective Date”). You will work remotely out of a home office and anticipated to also work out of the Company’s offices</w:t>
      </w:r>
      <w:r>
        <w:rPr>
          <w:rFonts w:ascii="Times New Roman;serif" w:hAnsi="Times New Roman;serif"/>
          <w:b w:val="false"/>
          <w:color w:val="202020"/>
          <w:sz w:val="24"/>
        </w:rPr>
        <w:t xml:space="preserve">. </w:t>
      </w:r>
      <w:r>
        <w:rPr>
          <w:rFonts w:ascii="Times New Roman;serif" w:hAnsi="Times New Roman;serif"/>
          <w:b w:val="false"/>
          <w:color w:val="000000"/>
          <w:sz w:val="24"/>
        </w:rPr>
        <w:t>By signing this Agreement, you confirm that you are under no contractual or other legal obligations that would prohibit you from performing your duties with Figure commencing on the Effective Date.</w:t>
      </w:r>
    </w:p>
    <w:p>
      <w:pPr>
        <w:pStyle w:val="TextBody"/>
        <w:bidi w:val="0"/>
        <w:spacing w:lineRule="auto" w:line="285" w:before="259" w:after="283"/>
        <w:ind w:left="0" w:right="0" w:hanging="721"/>
        <w:jc w:val="both"/>
        <w:rPr/>
      </w:pPr>
      <w:r>
        <w:rPr>
          <w:rFonts w:ascii="Times New Roman;serif" w:hAnsi="Times New Roman;serif"/>
          <w:b w:val="false"/>
          <w:color w:val="000000"/>
          <w:sz w:val="24"/>
        </w:rPr>
        <w:t>2.</w:t>
      </w:r>
      <w:r>
        <w:rPr>
          <w:rFonts w:ascii="Times New Roman;serif" w:hAnsi="Times New Roman;serif"/>
          <w:b/>
          <w:color w:val="000000"/>
          <w:sz w:val="24"/>
          <w:u w:val="single"/>
        </w:rPr>
        <w:t>Term</w:t>
      </w:r>
      <w:r>
        <w:rPr>
          <w:rFonts w:ascii="Times New Roman;serif" w:hAnsi="Times New Roman;serif"/>
          <w:b w:val="false"/>
          <w:color w:val="000000"/>
          <w:sz w:val="24"/>
        </w:rPr>
        <w:t>. Your employment with the Company under the terms and conditions of this Agreement shall commence on the Effective Date and shall continue during an initial term until the third anniversary of the Effective Date (the “Initial Term”) and automatically renew for successive one-year terms thereafter (the “Subsequent Term” and together with the Initial Term, the “Term”), in each case, until terminated in accordance with the terms and conditions of Section 10 of this Agreement. Notwithstanding any provision of this Agreement to the contrary, you shall be employed on an “at-will” basis as set forth in Section 11, and your employment may be terminated by either party at any time, subject to the notice provisions contained herein that may apply with respect to termination of employment.</w:t>
      </w:r>
    </w:p>
    <w:p>
      <w:pPr>
        <w:pStyle w:val="TextBody"/>
        <w:bidi w:val="0"/>
        <w:spacing w:before="0" w:after="0"/>
        <w:ind w:left="0" w:right="0" w:hanging="361"/>
        <w:jc w:val="both"/>
        <w:rPr/>
      </w:pPr>
      <w:r>
        <w:rPr/>
      </w:r>
    </w:p>
    <w:p>
      <w:pPr>
        <w:pStyle w:val="TextBody"/>
        <w:bidi w:val="0"/>
        <w:spacing w:lineRule="auto" w:line="285" w:before="0" w:after="0"/>
        <w:ind w:left="0" w:right="0" w:hanging="721"/>
        <w:jc w:val="both"/>
        <w:rPr/>
      </w:pPr>
      <w:r>
        <w:rPr>
          <w:rFonts w:ascii="Times New Roman;serif" w:hAnsi="Times New Roman;serif"/>
          <w:b w:val="false"/>
          <w:color w:val="000000"/>
          <w:sz w:val="24"/>
        </w:rPr>
        <w:t>3.</w:t>
      </w:r>
      <w:r>
        <w:rPr>
          <w:rFonts w:ascii="Times New Roman;serif" w:hAnsi="Times New Roman;serif"/>
          <w:b/>
          <w:color w:val="000000"/>
          <w:sz w:val="24"/>
          <w:u w:val="single"/>
        </w:rPr>
        <w:t>Job Title; Reporting; Duties</w:t>
      </w:r>
      <w:r>
        <w:rPr>
          <w:rFonts w:ascii="Times New Roman;serif" w:hAnsi="Times New Roman;serif"/>
          <w:b w:val="false"/>
          <w:color w:val="000000"/>
          <w:sz w:val="24"/>
        </w:rPr>
        <w:t>. Your title will be Chief Executive Officer of the Company. You will report to the Company’s Board of Directors (the “Board”). During the Term, you shall (i) be a full-time employee of the Company, (ii) have such duties, responsibilities and authority as are reasonably prescribed by the Board, consistent with your position as Chief Executive Officer and (iii) devote all of your business time and best efforts to the performance of your duties to the Company and shall not engage in any other business, profession or occupation for compensation. Notwithstanding the foregoing, you may (w) continue to serve in those roles set forth on Exhibit D of the Confidentiality Agreement with the prior approval by the Board, (x) serve as a director or advisor of non-profit organizations without approval of the Board and as director or advisor of for profit companies (in addition to the roles set forth on Exhibit D of the Confidentiality Agreement) with the prior approval of the Board, (y) perform and participate in civic, charitable, educational, professional, community, industry affairs and other related activities, and (z) manage personal investments; provided, however, that such activities do not materially interfere, individually or in the aggregate, with the performance of your duties hereunder.</w:t>
      </w:r>
    </w:p>
    <w:p>
      <w:pPr>
        <w:pStyle w:val="TextBody"/>
        <w:bidi w:val="0"/>
        <w:spacing w:before="0" w:after="0"/>
        <w:ind w:left="0" w:right="0" w:hanging="361"/>
        <w:jc w:val="both"/>
        <w:rPr/>
      </w:pPr>
      <w:r>
        <w:rPr/>
      </w:r>
    </w:p>
    <w:p>
      <w:pPr>
        <w:pStyle w:val="TextBody"/>
        <w:bidi w:val="0"/>
        <w:spacing w:lineRule="auto" w:line="285" w:before="1" w:after="283"/>
        <w:ind w:left="0" w:right="0" w:hanging="721"/>
        <w:jc w:val="both"/>
        <w:rPr/>
      </w:pPr>
      <w:r>
        <w:rPr>
          <w:rFonts w:ascii="Times New Roman;serif" w:hAnsi="Times New Roman;serif"/>
          <w:b w:val="false"/>
          <w:color w:val="000000"/>
          <w:sz w:val="24"/>
        </w:rPr>
        <w:t>4.</w:t>
      </w:r>
      <w:r>
        <w:rPr>
          <w:rFonts w:ascii="Times New Roman;serif" w:hAnsi="Times New Roman;serif"/>
          <w:b/>
          <w:color w:val="000000"/>
          <w:sz w:val="24"/>
          <w:u w:val="single"/>
        </w:rPr>
        <w:t>Board of Directors</w:t>
      </w:r>
      <w:r>
        <w:rPr>
          <w:rFonts w:ascii="Times New Roman;serif" w:hAnsi="Times New Roman;serif"/>
          <w:b w:val="false"/>
          <w:color w:val="000000"/>
          <w:sz w:val="24"/>
        </w:rPr>
        <w:t>. Upon your employment with Figure, you will be designated as an Officer of the Company and will serve on Figure’s Board of Directors during your employment with the Company.</w:t>
      </w:r>
    </w:p>
    <w:p>
      <w:pPr>
        <w:pStyle w:val="TextBody"/>
        <w:bidi w:val="0"/>
        <w:spacing w:before="0" w:after="0"/>
        <w:jc w:val="left"/>
        <w:rPr/>
      </w:pPr>
      <w:r>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480175" cy="175260"/>
                <wp:effectExtent l="0" t="0" r="0" b="0"/>
                <wp:wrapNone/>
                <wp:docPr id="203" name="Frame2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5" w:before="84" w:after="283"/>
        <w:ind w:left="0" w:right="0" w:hanging="721"/>
        <w:jc w:val="both"/>
        <w:rPr/>
      </w:pPr>
      <w:r>
        <w:rPr>
          <w:rFonts w:ascii="Times New Roman;serif" w:hAnsi="Times New Roman;serif"/>
          <w:b w:val="false"/>
          <w:color w:val="000000"/>
          <w:sz w:val="24"/>
        </w:rPr>
        <w:t>5.</w:t>
      </w:r>
      <w:r>
        <w:rPr>
          <w:rFonts w:ascii="Times New Roman;serif" w:hAnsi="Times New Roman;serif"/>
          <w:b/>
          <w:color w:val="000000"/>
          <w:sz w:val="24"/>
          <w:u w:val="single"/>
        </w:rPr>
        <w:t>Compensation</w:t>
      </w:r>
      <w:r>
        <w:rPr>
          <w:rFonts w:ascii="Times New Roman;serif" w:hAnsi="Times New Roman;serif"/>
          <w:b w:val="false"/>
          <w:color w:val="000000"/>
          <w:sz w:val="24"/>
        </w:rPr>
        <w:t>. Figure will pay you a salary at the rate of $</w:t>
      </w:r>
      <w:r>
        <w:rPr>
          <w:rFonts w:ascii="Times New Roman;serif" w:hAnsi="Times New Roman;serif"/>
          <w:b w:val="false"/>
          <w:color w:val="202020"/>
          <w:sz w:val="24"/>
        </w:rPr>
        <w:t xml:space="preserve">375,000.00 </w:t>
      </w:r>
      <w:r>
        <w:rPr>
          <w:rFonts w:ascii="Times New Roman;serif" w:hAnsi="Times New Roman;serif"/>
          <w:b w:val="false"/>
          <w:color w:val="000000"/>
          <w:sz w:val="24"/>
        </w:rPr>
        <w:t>per year (as in effect from time to time, the “Base Salary”), subject to deductions for taxes and other withholdings as required by law and based on benefits you elect and authorize for deduction purposes. You will be classified as exempt for purposes of applicable federal and state employment laws. You will be eligible for Base Salary increases on the same terms and conditions as apply to the Company’s similarly situated senior executives.</w:t>
      </w:r>
    </w:p>
    <w:p>
      <w:pPr>
        <w:pStyle w:val="TextBody"/>
        <w:bidi w:val="0"/>
        <w:spacing w:lineRule="auto" w:line="288" w:before="270" w:after="283"/>
        <w:ind w:left="0" w:right="0" w:hanging="721"/>
        <w:jc w:val="both"/>
        <w:rPr/>
      </w:pPr>
      <w:r>
        <w:rPr>
          <w:rFonts w:ascii="Times New Roman;serif" w:hAnsi="Times New Roman;serif"/>
          <w:b w:val="false"/>
          <w:color w:val="000000"/>
          <w:sz w:val="24"/>
        </w:rPr>
        <w:t>6.</w:t>
      </w:r>
      <w:r>
        <w:rPr>
          <w:rFonts w:ascii="Times New Roman;serif" w:hAnsi="Times New Roman;serif"/>
          <w:b/>
          <w:color w:val="000000"/>
          <w:sz w:val="24"/>
          <w:u w:val="single"/>
        </w:rPr>
        <w:t>Bonus</w:t>
      </w:r>
      <w:r>
        <w:rPr>
          <w:rFonts w:ascii="Times New Roman;serif" w:hAnsi="Times New Roman;serif"/>
          <w:b w:val="false"/>
          <w:color w:val="000000"/>
          <w:sz w:val="24"/>
        </w:rPr>
        <w:t>. You will be eligible to participate in Figure’s bonus plan (as in effect from time to time), which is based on an annual target of 100% of your Base Salary, (as in effect at the end of such fiscal year, the “Target Bonus”), with the ability for overachievement above the Target Bonus subject to approval by the Board. Your Target Bonus will be divided per quarter and may be earned each quarter. Bonuses are subject to Figure and individual quarterly performance. As part of your offer, for your first twelve (12) months of employment at the Company, you will be guaranteed a Target Bonus of no less than $375,000.00, minus applicable taxes, payable after each applicable quarter, subject to the Company’s customary payment schedule, with the guaranteed portion of the bonus paid according to the following schedule for each quarter starting with June 30, 2024: (1) $72,115.38, (2), $93,750.00, (3), $93.750.00, (4) $93,750.00 and (5) $21,634.62 plus any bonus owed after the first 22 days worked in April 2025 (such guaranteed bonus, the “First Year Guaranteed Bonus”). All subsequent payments of the Target Bonus are subject to the Company’s and your performance. In the event that your employment terminates under Section 10(b) prior to the end of a quarter, your Target Bonus shall be prorated based on the number of days worked for that quarter as set forth in Section 10(b)(iii).</w:t>
      </w:r>
    </w:p>
    <w:p>
      <w:pPr>
        <w:pStyle w:val="TextBody"/>
        <w:bidi w:val="0"/>
        <w:spacing w:lineRule="auto" w:line="285" w:before="259" w:after="283"/>
        <w:ind w:left="0" w:right="0" w:hanging="721"/>
        <w:jc w:val="both"/>
        <w:rPr/>
      </w:pPr>
      <w:r>
        <w:rPr>
          <w:rFonts w:ascii="Times New Roman;serif" w:hAnsi="Times New Roman;serif"/>
          <w:b w:val="false"/>
          <w:color w:val="000000"/>
          <w:sz w:val="24"/>
        </w:rPr>
        <w:t>7.</w:t>
      </w:r>
      <w:r>
        <w:rPr>
          <w:rFonts w:ascii="Times New Roman;serif" w:hAnsi="Times New Roman;serif"/>
          <w:b/>
          <w:color w:val="000000"/>
          <w:sz w:val="24"/>
          <w:u w:val="single"/>
        </w:rPr>
        <w:t>Benefits and Expenses</w:t>
      </w:r>
      <w:r>
        <w:rPr>
          <w:rFonts w:ascii="Times New Roman;serif" w:hAnsi="Times New Roman;serif"/>
          <w:b w:val="false"/>
          <w:color w:val="000000"/>
          <w:sz w:val="24"/>
        </w:rPr>
        <w:t>. You will be eligible to participate in company-sponsored benefits. Details on current offerings will be provided separately. In addition, you will be entitled to flexible time off per calendar year in accordance with Figure’s vacation policy, as in effect from time to time. The Company shall reimburse you for any expenses reasonably and necessarily incurred by you during your employment in furtherance of your duties hereunder, including travel, meals, and accommodations, upon submission by you of vouchers or receipts and in compliance with such rules and policies relating thereto as the Company may from time to time adopt.</w:t>
      </w:r>
    </w:p>
    <w:p>
      <w:pPr>
        <w:pStyle w:val="TextBody"/>
        <w:bidi w:val="0"/>
        <w:spacing w:lineRule="auto" w:line="288" w:before="272" w:after="283"/>
        <w:ind w:left="0" w:right="0" w:hanging="720"/>
        <w:jc w:val="left"/>
        <w:rPr/>
      </w:pPr>
      <w:r>
        <w:rPr>
          <w:rFonts w:ascii="Times New Roman;serif" w:hAnsi="Times New Roman;serif"/>
          <w:b w:val="false"/>
          <w:color w:val="000000"/>
          <w:sz w:val="24"/>
        </w:rPr>
        <w:t>8.</w:t>
      </w:r>
      <w:r>
        <w:rPr>
          <w:rFonts w:ascii="Times New Roman;serif" w:hAnsi="Times New Roman;serif"/>
          <w:b/>
          <w:color w:val="000000"/>
          <w:sz w:val="24"/>
        </w:rPr>
        <w:t>Stock Options and Restricted Stock Units</w:t>
      </w:r>
    </w:p>
    <w:p>
      <w:pPr>
        <w:pStyle w:val="TextBody"/>
        <w:bidi w:val="0"/>
        <w:spacing w:before="9" w:after="283"/>
        <w:jc w:val="left"/>
        <w:rPr/>
      </w:pPr>
      <w:r>
        <w:rPr/>
      </w:r>
    </w:p>
    <w:p>
      <w:pPr>
        <w:pStyle w:val="TextBody"/>
        <w:bidi w:val="0"/>
        <w:spacing w:lineRule="auto" w:line="285" w:before="0" w:after="0"/>
        <w:ind w:left="0" w:right="0" w:hanging="541"/>
        <w:jc w:val="both"/>
        <w:rPr>
          <w:rFonts w:ascii="Times New Roman;serif" w:hAnsi="Times New Roman;serif"/>
          <w:b w:val="false"/>
          <w:color w:val="000000"/>
          <w:sz w:val="24"/>
        </w:rPr>
      </w:pPr>
      <w:r>
        <w:rPr>
          <w:rFonts w:ascii="Times New Roman;serif" w:hAnsi="Times New Roman;serif"/>
          <w:b w:val="false"/>
          <w:color w:val="000000"/>
          <w:sz w:val="24"/>
        </w:rPr>
        <w:t>a.You will be granted an option to purchase 4,587,350 of shares of Figure’s common stock (the “Option”). The exercise price per share of the Option is determined by the Board when the Option is granted and is based on the 409A valuation at the time of Board approval. The Option will be subject to the terms and conditions applicable to options granted under Figure’s 2018 Equity Incentive Plan or any successor plan, (the “Plan”), as described in the Plan and the applicable Figure Option Exercise Form that will be provided to you when the Option vests. During your employment at Figure, you will vest in 12/48ths of the Option after 12 months of continuous service, and the balance will vest in equal monthly installments over the next 36 months of continuous service, as described in the applicable Stock Option Agreement.</w:t>
      </w:r>
    </w:p>
    <w:p>
      <w:pPr>
        <w:pStyle w:val="TextBody"/>
        <w:bidi w:val="0"/>
        <w:spacing w:lineRule="auto" w:line="285" w:before="258" w:after="283"/>
        <w:ind w:left="0" w:right="0" w:hanging="541"/>
        <w:jc w:val="both"/>
        <w:rPr>
          <w:rFonts w:ascii="Times New Roman;serif" w:hAnsi="Times New Roman;serif"/>
          <w:b w:val="false"/>
          <w:color w:val="000000"/>
          <w:sz w:val="24"/>
        </w:rPr>
      </w:pPr>
      <w:r>
        <w:rPr>
          <w:rFonts w:ascii="Times New Roman;serif" w:hAnsi="Times New Roman;serif"/>
          <w:b w:val="false"/>
          <w:color w:val="000000"/>
          <w:sz w:val="24"/>
        </w:rPr>
        <w:t>b.You will also be granted 4,587,350 of Figure’s restricted stock units (the “RSUs”) subject to the terms and conditions of the relevant plan documents (the “RSU Plan,” and collectively with the Plan, the “Equity Plans”). During your employment at Figure, you will vest in 12/48ths of the RSUs after 12 months of continuous service, and the balance will vest in equal quarterly installments over the next 36 months of continuous service. All vesting for RSUs are subject to a liquidity event (e.g., an IPO or a sale of the Company) within seven years of the date of grant and your continued service on such date of such liquidity event.</w:t>
      </w:r>
    </w:p>
    <w:p>
      <w:pPr>
        <w:pStyle w:val="TextBody"/>
        <w:bidi w:val="0"/>
        <w:spacing w:lineRule="auto" w:line="285" w:before="84" w:after="283"/>
        <w:ind w:left="0" w:right="0" w:hanging="721"/>
        <w:jc w:val="both"/>
        <w:rPr/>
      </w:pPr>
      <w:r>
        <w:rPr>
          <w:rFonts w:ascii="Times New Roman;serif" w:hAnsi="Times New Roman;serif"/>
          <w:b w:val="false"/>
          <w:color w:val="000000"/>
          <w:sz w:val="24"/>
        </w:rPr>
        <w:t>9.</w:t>
      </w:r>
      <w:r>
        <w:rPr>
          <w:rFonts w:ascii="Times New Roman;serif" w:hAnsi="Times New Roman;serif"/>
          <w:b/>
          <w:color w:val="000000"/>
          <w:sz w:val="24"/>
          <w:u w:val="single"/>
        </w:rPr>
        <w:t>Accelerated Vesting</w:t>
      </w:r>
      <w:r>
        <w:rPr>
          <w:rFonts w:ascii="Times New Roman;serif" w:hAnsi="Times New Roman;serif"/>
          <w:b w:val="false"/>
          <w:color w:val="000000"/>
          <w:sz w:val="24"/>
        </w:rPr>
        <w:t>. The vesting of each award of RSUs and the Option is also subject to the terms of the Double-Trigger Amendment attached as Exhibit 3.</w:t>
      </w:r>
    </w:p>
    <w:p>
      <w:pPr>
        <w:pStyle w:val="TextBody"/>
        <w:bidi w:val="0"/>
        <w:spacing w:before="0" w:after="0"/>
        <w:jc w:val="left"/>
        <w:rPr/>
      </w:pPr>
      <w:r>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6480175" cy="175260"/>
                <wp:effectExtent l="0" t="0" r="0" b="0"/>
                <wp:wrapNone/>
                <wp:docPr id="204" name="Frame20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57" w:after="283"/>
        <w:ind w:left="0" w:right="0" w:hanging="721"/>
        <w:jc w:val="both"/>
        <w:rPr/>
      </w:pPr>
      <w:r>
        <w:rPr>
          <w:rFonts w:ascii="Times New Roman;serif" w:hAnsi="Times New Roman;serif"/>
          <w:b w:val="false"/>
          <w:color w:val="000000"/>
          <w:sz w:val="24"/>
        </w:rPr>
        <w:t>10.</w:t>
      </w:r>
      <w:r>
        <w:rPr>
          <w:rFonts w:ascii="Times New Roman;serif" w:hAnsi="Times New Roman;serif"/>
          <w:b/>
          <w:color w:val="000000"/>
          <w:sz w:val="24"/>
          <w:u w:val="single"/>
        </w:rPr>
        <w:t>Termination of Employment</w:t>
      </w:r>
      <w:r>
        <w:rPr>
          <w:rFonts w:ascii="Times New Roman;serif" w:hAnsi="Times New Roman;serif"/>
          <w:b w:val="false"/>
          <w:color w:val="000000"/>
          <w:sz w:val="24"/>
        </w:rPr>
        <w:t>. Your employment shall be terminated at the earliest to occur of the following: (i) the date on which the Company provides notice to you of termination for “Disability” (as defined in the Double-Trigger Amendment); (ii) the date of your death; (iii) the date on which your employment is terminated for “Cause” (as defined in the Double-Trigger Amendment); (iv) the date which is 30 days following the date on which the Company provides notice to you of termination without Cause; (v) the date which is 30 days following the date on which you provide notice to the Company of your voluntary resignation other than for “Good Reason” (as defined in the Double-Trigger Amendment); or (vi) the date on which your employment terminates due to your resignation for Good Reason.</w:t>
      </w:r>
    </w:p>
    <w:p>
      <w:pPr>
        <w:pStyle w:val="TextBody"/>
        <w:bidi w:val="0"/>
        <w:spacing w:before="0" w:after="0"/>
        <w:jc w:val="left"/>
        <w:rPr/>
      </w:pPr>
      <w:r>
        <w:rPr/>
      </w:r>
    </w:p>
    <w:p>
      <w:pPr>
        <w:pStyle w:val="TextBody"/>
        <w:bidi w:val="0"/>
        <w:spacing w:lineRule="auto" w:line="288" w:before="1" w:after="283"/>
        <w:ind w:left="0" w:right="0" w:firstLine="719"/>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For Cause; Resignation by You Other than for Good Reason; Death or Disability</w:t>
      </w:r>
      <w:r>
        <w:rPr>
          <w:rFonts w:ascii="Times New Roman;serif" w:hAnsi="Times New Roman;serif"/>
          <w:b w:val="false"/>
          <w:color w:val="000000"/>
          <w:sz w:val="24"/>
        </w:rPr>
        <w:t>. If during the Term, your employment with the Company is terminated by the Company for Cause or as a result of your death or Disability or you resign your employment other than for Good Reason, you shall not be entitled to any further compensation or benefits other than, in each case if applicable as of the date of termination: (i) any accrued but unpaid Base Salary; (ii) reimbursement for any expenses properly incurred prior to the date of termination and reported by you in accordance with Section 7 hereof, payable on the Company’s first regularly scheduled payroll date which occurs at least 10 business days after the date of termination; and (iii) vested employee benefits, if any, to which you may be entitled under the Company employee benefit plans described in Section 7 as of the date of termination and your rights with respect to your then outstanding equity awards pursuant to the terms of the Company’s Equity Plans (collectively, the “Accrued Rights”).</w:t>
      </w:r>
    </w:p>
    <w:p>
      <w:pPr>
        <w:pStyle w:val="TextBody"/>
        <w:bidi w:val="0"/>
        <w:spacing w:before="0" w:after="0"/>
        <w:jc w:val="left"/>
        <w:rPr/>
      </w:pPr>
      <w:r>
        <w:rPr/>
      </w:r>
    </w:p>
    <w:p>
      <w:pPr>
        <w:pStyle w:val="TextBody"/>
        <w:bidi w:val="0"/>
        <w:spacing w:lineRule="auto" w:line="288" w:before="1" w:after="283"/>
        <w:ind w:left="0" w:right="0" w:firstLine="719"/>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Termination by the Company without Cause or Resignation for Good Reason.</w:t>
      </w:r>
      <w:r>
        <w:rPr>
          <w:color w:val="000000"/>
        </w:rPr>
        <w:t xml:space="preserve"> </w:t>
      </w:r>
      <w:r>
        <w:rPr>
          <w:rFonts w:ascii="Times New Roman;serif" w:hAnsi="Times New Roman;serif"/>
          <w:b w:val="false"/>
          <w:color w:val="000000"/>
          <w:sz w:val="24"/>
        </w:rPr>
        <w:t>If during the Term, your employment is terminated by the Company without Cause or you resign your employment for Good Reason, then you shall be entitled to receive the Accrued Rights, and if you execute a release in such form specified by the Company (the “Release”), then you shall receive the following:</w:t>
      </w:r>
    </w:p>
    <w:p>
      <w:pPr>
        <w:pStyle w:val="TextBody"/>
        <w:bidi w:val="0"/>
        <w:spacing w:before="0" w:after="0"/>
        <w:jc w:val="left"/>
        <w:rPr/>
      </w:pPr>
      <w:r>
        <w:rPr/>
      </w:r>
    </w:p>
    <w:p>
      <w:pPr>
        <w:pStyle w:val="TextBody"/>
        <w:bidi w:val="0"/>
        <w:spacing w:lineRule="auto" w:line="288" w:before="0" w:after="0"/>
        <w:ind w:left="0" w:right="0" w:firstLine="2678"/>
        <w:jc w:val="both"/>
        <w:rPr/>
      </w:pPr>
      <w:r>
        <w:rPr>
          <w:rFonts w:ascii="Times New Roman;serif" w:hAnsi="Times New Roman;serif"/>
          <w:b w:val="false"/>
          <w:color w:val="000000"/>
          <w:sz w:val="24"/>
        </w:rPr>
        <w:t>i.An amount in cash equal to one time your Base Salary, as in effect immediately prior to the date of termination (without regard to any reduction resulting in Good Reason), which amount shall be payable on the first regularly scheduled payroll date of the Company that occurs on or following the 60</w:t>
      </w:r>
      <w:r>
        <w:rPr>
          <w:rFonts w:ascii="Times New Roman;serif" w:hAnsi="Times New Roman;serif"/>
          <w:b w:val="false"/>
          <w:color w:val="000000"/>
          <w:sz w:val="16"/>
        </w:rPr>
        <w:t>th</w:t>
      </w:r>
      <w:r>
        <w:rPr>
          <w:color w:val="000000"/>
        </w:rPr>
        <w:t xml:space="preserve"> </w:t>
      </w:r>
      <w:r>
        <w:rPr>
          <w:rFonts w:ascii="Times New Roman;serif" w:hAnsi="Times New Roman;serif"/>
          <w:b w:val="false"/>
          <w:color w:val="000000"/>
          <w:sz w:val="24"/>
        </w:rPr>
        <w:t>day after the date of your Separation (the “Severance Payment Date”);</w:t>
      </w:r>
    </w:p>
    <w:p>
      <w:pPr>
        <w:pStyle w:val="TextBody"/>
        <w:bidi w:val="0"/>
        <w:spacing w:before="0" w:after="0"/>
        <w:jc w:val="left"/>
        <w:rPr/>
      </w:pPr>
      <w:r>
        <w:rPr/>
      </w:r>
    </w:p>
    <w:p>
      <w:pPr>
        <w:pStyle w:val="TextBody"/>
        <w:bidi w:val="0"/>
        <w:spacing w:lineRule="auto" w:line="288" w:before="0" w:after="0"/>
        <w:ind w:left="0" w:right="0" w:firstLine="2611"/>
        <w:jc w:val="both"/>
        <w:rPr>
          <w:rFonts w:ascii="Times New Roman;serif" w:hAnsi="Times New Roman;serif"/>
          <w:b w:val="false"/>
          <w:color w:val="000000"/>
          <w:sz w:val="24"/>
        </w:rPr>
      </w:pPr>
      <w:r>
        <w:rPr>
          <w:rFonts w:ascii="Times New Roman;serif" w:hAnsi="Times New Roman;serif"/>
          <w:b w:val="false"/>
          <w:color w:val="000000"/>
          <w:sz w:val="24"/>
        </w:rPr>
        <w:t>ii.Payment of any earned but unpaid quarterly bonus with respect to the quarter prior to the quarter in which the termination occurs; provided that, in the event that such termination of employment occurs prior to the Company’s payment to you of the First Year Guaranteed Bonus in accordance with Section 6 of this Agreement, such amount in cash shall be equal to the unpaid guaranteed bonus that is remaining after the total bonus amounts already paid to you for any quarter during your first year of employment is deducted from $375,000.00, which amount shall be payable on the Severance Payment Date;</w:t>
      </w:r>
    </w:p>
    <w:p>
      <w:pPr>
        <w:pStyle w:val="TextBody"/>
        <w:bidi w:val="0"/>
        <w:spacing w:before="1" w:after="283"/>
        <w:jc w:val="left"/>
        <w:rPr/>
      </w:pPr>
      <w:r>
        <w:rPr/>
      </w:r>
    </w:p>
    <w:p>
      <w:pPr>
        <w:pStyle w:val="TextBody"/>
        <w:bidi w:val="0"/>
        <w:spacing w:lineRule="auto" w:line="288" w:before="0" w:after="0"/>
        <w:ind w:left="0" w:right="0" w:firstLine="2544"/>
        <w:jc w:val="both"/>
        <w:rPr>
          <w:rFonts w:ascii="Times New Roman;serif" w:hAnsi="Times New Roman;serif"/>
          <w:b w:val="false"/>
          <w:color w:val="000000"/>
          <w:sz w:val="24"/>
        </w:rPr>
      </w:pPr>
      <w:r>
        <w:rPr>
          <w:rFonts w:ascii="Times New Roman;serif" w:hAnsi="Times New Roman;serif"/>
          <w:b w:val="false"/>
          <w:color w:val="000000"/>
          <w:sz w:val="24"/>
        </w:rPr>
        <w:t>iii.In the event that such termination of employment occurs on or after your first year of employment, an amount in cash equal to the product of (A) $93,750.00 and (B) a fraction, the numerator of which is the number of days that you were employed during the quarter in which the date of termination occurs, and the denominator of which is the total number of days in such quarter (the “Pro-Rated Bonus”), payable on the Severance Payment Date;</w:t>
      </w:r>
    </w:p>
    <w:p>
      <w:pPr>
        <w:pStyle w:val="TextBody"/>
        <w:bidi w:val="0"/>
        <w:spacing w:lineRule="auto" w:line="288" w:before="84" w:after="283"/>
        <w:ind w:left="0" w:right="0" w:firstLine="2558"/>
        <w:jc w:val="both"/>
        <w:rPr>
          <w:rFonts w:ascii="Times New Roman;serif" w:hAnsi="Times New Roman;serif"/>
          <w:b w:val="false"/>
          <w:color w:val="000000"/>
          <w:sz w:val="24"/>
        </w:rPr>
      </w:pPr>
      <w:r>
        <w:rPr>
          <w:rFonts w:ascii="Times New Roman;serif" w:hAnsi="Times New Roman;serif"/>
          <w:b w:val="false"/>
          <w:color w:val="000000"/>
          <w:sz w:val="24"/>
        </w:rPr>
        <w:t xml:space="preserve">iv.Provided that you timely elect to continue coverage under the Consolidated Omnibus Budget Reconciliation Act of 1985 (“COBRA”), for the 12 calendar months immediately following the end of the calendar month in which the date of termination occurs, the </w:t>
      </w:r>
    </w:p>
    <w:p>
      <w:pPr>
        <w:pStyle w:val="TextBody"/>
        <w:bidi w:val="0"/>
        <w:spacing w:before="0" w:after="0"/>
        <w:jc w:val="left"/>
        <w:rPr/>
      </w:pPr>
      <w:r>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6480175" cy="175260"/>
                <wp:effectExtent l="0" t="0" r="0" b="0"/>
                <wp:wrapNone/>
                <wp:docPr id="205" name="Frame2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84" w:after="283"/>
        <w:jc w:val="both"/>
        <w:rPr/>
      </w:pPr>
      <w:r>
        <w:rPr>
          <w:rFonts w:ascii="Times New Roman;serif" w:hAnsi="Times New Roman;serif"/>
          <w:b w:val="false"/>
          <w:color w:val="000000"/>
          <w:sz w:val="24"/>
        </w:rPr>
        <w:t xml:space="preserve">Company shall pay a portion of the premiums so that your cost for coverage is commensurate with active employees;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that</w:t>
      </w:r>
      <w:r>
        <w:rPr>
          <w:rFonts w:ascii="Times New Roman;serif" w:hAnsi="Times New Roman;serif"/>
          <w:b w:val="false"/>
          <w:color w:val="000000"/>
          <w:sz w:val="24"/>
        </w:rPr>
        <w:t xml:space="preserve">, if the Company determines that such payments would cause adverse tax consequences to the Company or you or otherwise not be permitted under the Company’s health and welfare plans or under law, the Company shall instead provide you with monthly cash payments during such 12 month period in an amount equal to the amount of the Company’s monthly contributions referenced above;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further</w:t>
      </w:r>
      <w:r>
        <w:rPr>
          <w:rFonts w:ascii="Times New Roman;serif" w:hAnsi="Times New Roman;serif"/>
          <w:b w:val="false"/>
          <w:color w:val="000000"/>
          <w:sz w:val="24"/>
        </w:rPr>
        <w:t>, that such contributions shall cease to be effective as of the date that you obtain health and welfare benefits from a subsequent employer;</w:t>
      </w:r>
    </w:p>
    <w:p>
      <w:pPr>
        <w:pStyle w:val="TextBody"/>
        <w:bidi w:val="0"/>
        <w:spacing w:before="0" w:after="0"/>
        <w:jc w:val="left"/>
        <w:rPr/>
      </w:pPr>
      <w:r>
        <w:rPr/>
      </w:r>
    </w:p>
    <w:p>
      <w:pPr>
        <w:pStyle w:val="TextBody"/>
        <w:bidi w:val="0"/>
        <w:spacing w:lineRule="auto" w:line="288" w:before="1" w:after="283"/>
        <w:ind w:left="0" w:right="0" w:firstLine="2626"/>
        <w:jc w:val="both"/>
        <w:rPr>
          <w:rFonts w:ascii="Times New Roman;serif" w:hAnsi="Times New Roman;serif"/>
          <w:b w:val="false"/>
          <w:color w:val="000000"/>
          <w:sz w:val="24"/>
        </w:rPr>
      </w:pPr>
      <w:r>
        <w:rPr>
          <w:rFonts w:ascii="Times New Roman;serif" w:hAnsi="Times New Roman;serif"/>
          <w:b w:val="false"/>
          <w:color w:val="000000"/>
          <w:sz w:val="24"/>
        </w:rPr>
        <w:t>v.In the event that the Option or RSU has not been granted as of immediately prior to such termination, the Option and/or RSU will be granted to you not later than the time it would otherwise be granted under Section 8 above had your employment with the Company continued through such date; and</w:t>
      </w:r>
    </w:p>
    <w:p>
      <w:pPr>
        <w:pStyle w:val="TextBody"/>
        <w:bidi w:val="0"/>
        <w:spacing w:before="0" w:after="0"/>
        <w:jc w:val="left"/>
        <w:rPr/>
      </w:pPr>
      <w:r>
        <w:rPr/>
      </w:r>
    </w:p>
    <w:p>
      <w:pPr>
        <w:pStyle w:val="TextBody"/>
        <w:bidi w:val="0"/>
        <w:spacing w:lineRule="auto" w:line="288" w:before="0" w:after="0"/>
        <w:ind w:left="0" w:right="0" w:firstLine="2558"/>
        <w:jc w:val="both"/>
        <w:rPr>
          <w:rFonts w:ascii="Times New Roman;serif" w:hAnsi="Times New Roman;serif"/>
          <w:b w:val="false"/>
          <w:color w:val="000000"/>
          <w:sz w:val="24"/>
        </w:rPr>
      </w:pPr>
      <w:r>
        <w:rPr>
          <w:rFonts w:ascii="Times New Roman;serif" w:hAnsi="Times New Roman;serif"/>
          <w:b w:val="false"/>
          <w:color w:val="000000"/>
          <w:sz w:val="24"/>
        </w:rPr>
        <w:t>vi.Accelerated vesting of the portion of the Option and RSU such that the number of vested shares subject to the Option and RSU includes any and all shares that would have become vested had your employment continued through the first anniversary of the date of termination.</w:t>
      </w:r>
    </w:p>
    <w:p>
      <w:pPr>
        <w:pStyle w:val="TextBody"/>
        <w:bidi w:val="0"/>
        <w:spacing w:lineRule="auto" w:line="288" w:before="243" w:after="283"/>
        <w:jc w:val="both"/>
        <w:rPr>
          <w:rFonts w:ascii="Times New Roman;serif" w:hAnsi="Times New Roman;serif"/>
          <w:b w:val="false"/>
          <w:color w:val="000000"/>
          <w:sz w:val="24"/>
        </w:rPr>
      </w:pPr>
      <w:r>
        <w:rPr>
          <w:rFonts w:ascii="Times New Roman;serif" w:hAnsi="Times New Roman;serif"/>
          <w:b w:val="false"/>
          <w:color w:val="000000"/>
          <w:sz w:val="24"/>
        </w:rPr>
        <w:t>You must execute and return the Release on or before the date specified by the Company in such form (the “Release Deadline”). The Release Deadline will in no event be later than fifty-two (52) days after your Separation. If you fail to return the release on or before the Release Deadline, or if you revoke the release, then you will not be entitled to the payments described in Section 10(b). For purposes of this offer letter, “Separation” will mean a termination of employment (subject to the terms and conditions of Section 10).</w:t>
      </w:r>
    </w:p>
    <w:p>
      <w:pPr>
        <w:pStyle w:val="TextBody"/>
        <w:bidi w:val="0"/>
        <w:spacing w:lineRule="auto" w:line="285" w:before="252" w:after="283"/>
        <w:ind w:left="0" w:right="0" w:hanging="721"/>
        <w:jc w:val="both"/>
        <w:rPr/>
      </w:pPr>
      <w:r>
        <w:rPr>
          <w:rFonts w:ascii="Times New Roman;serif" w:hAnsi="Times New Roman;serif"/>
          <w:b w:val="false"/>
          <w:color w:val="000000"/>
          <w:sz w:val="24"/>
        </w:rPr>
        <w:t>11.</w:t>
      </w:r>
      <w:r>
        <w:rPr>
          <w:rFonts w:ascii="Times New Roman;serif" w:hAnsi="Times New Roman;serif"/>
          <w:b/>
          <w:color w:val="000000"/>
          <w:sz w:val="24"/>
          <w:u w:val="single"/>
        </w:rPr>
        <w:t>Confidential Information, Invention Assignment.</w:t>
      </w:r>
      <w:r>
        <w:rPr>
          <w:color w:val="000000"/>
        </w:rPr>
        <w:t xml:space="preserve"> </w:t>
      </w:r>
      <w:r>
        <w:rPr>
          <w:rFonts w:ascii="Times New Roman;serif" w:hAnsi="Times New Roman;serif"/>
          <w:b w:val="false"/>
          <w:color w:val="000000"/>
          <w:sz w:val="24"/>
        </w:rPr>
        <w:t>As a condition of your employment with Figure, you are required to sign Figure’s standard At-Will Employment, Confidential Information and Invention Assignment Agreement (the “Confidentiality Agreement”), a copy of which is attached hereto for your reference as Exhibit 1. The Confidentiality Agreement will be signed by you as a part of this Agreement during your onboarding process.</w:t>
      </w:r>
    </w:p>
    <w:p>
      <w:pPr>
        <w:pStyle w:val="TextBody"/>
        <w:bidi w:val="0"/>
        <w:spacing w:lineRule="auto" w:line="288" w:before="269" w:after="283"/>
        <w:ind w:left="0" w:right="0" w:hanging="721"/>
        <w:jc w:val="both"/>
        <w:rPr/>
      </w:pPr>
      <w:r>
        <w:rPr>
          <w:rFonts w:ascii="Times New Roman;serif" w:hAnsi="Times New Roman;serif"/>
          <w:b w:val="false"/>
          <w:color w:val="000000"/>
          <w:sz w:val="24"/>
        </w:rPr>
        <w:t>12.</w:t>
      </w:r>
      <w:r>
        <w:rPr>
          <w:rFonts w:ascii="Times New Roman;serif" w:hAnsi="Times New Roman;serif"/>
          <w:b/>
          <w:color w:val="000000"/>
          <w:sz w:val="24"/>
          <w:u w:val="single"/>
        </w:rPr>
        <w:t>Arbitration Agreement.</w:t>
      </w:r>
      <w:r>
        <w:rPr>
          <w:color w:val="000000"/>
        </w:rPr>
        <w:t xml:space="preserve"> </w:t>
      </w:r>
      <w:r>
        <w:rPr>
          <w:rFonts w:ascii="Times New Roman;serif" w:hAnsi="Times New Roman;serif"/>
          <w:b w:val="false"/>
          <w:color w:val="000000"/>
          <w:sz w:val="24"/>
        </w:rPr>
        <w:t>As a condition of your employment with Figure, you agree to be bound by your and Figure’s Mutual Agreement to Arbitrate, referenced as Exhibit 2.</w:t>
      </w:r>
    </w:p>
    <w:p>
      <w:pPr>
        <w:pStyle w:val="TextBody"/>
        <w:bidi w:val="0"/>
        <w:spacing w:before="11" w:after="283"/>
        <w:jc w:val="left"/>
        <w:rPr/>
      </w:pPr>
      <w:r>
        <w:rPr/>
      </w:r>
    </w:p>
    <w:p>
      <w:pPr>
        <w:pStyle w:val="TextBody"/>
        <w:bidi w:val="0"/>
        <w:spacing w:lineRule="auto" w:line="276" w:before="1" w:after="283"/>
        <w:ind w:left="0" w:right="0" w:hanging="630"/>
        <w:jc w:val="both"/>
        <w:rPr/>
      </w:pPr>
      <w:r>
        <w:rPr>
          <w:rFonts w:ascii="Times New Roman;serif" w:hAnsi="Times New Roman;serif"/>
          <w:b w:val="false"/>
          <w:color w:val="000000"/>
          <w:sz w:val="24"/>
        </w:rPr>
        <w:t>13.</w:t>
      </w:r>
      <w:r>
        <w:rPr>
          <w:rFonts w:ascii="Times New Roman;serif" w:hAnsi="Times New Roman;serif"/>
          <w:b/>
          <w:color w:val="000000"/>
          <w:sz w:val="24"/>
          <w:u w:val="single"/>
        </w:rPr>
        <w:t>At-Will Employment Relationship</w:t>
      </w:r>
      <w:r>
        <w:rPr>
          <w:rFonts w:ascii="Times New Roman;serif" w:hAnsi="Times New Roman;serif"/>
          <w:b w:val="false"/>
          <w:color w:val="000000"/>
          <w:sz w:val="24"/>
        </w:rPr>
        <w:t>. Your employment with Figure will be “at will,” meaning that either you or Figure may terminate your employment at any time and for any reason, with or without cause, and with or without notice. Any contrary representations that may have been made to you are superseded by this Agreement. This is the full and complete agreement between you and Figure on this matter. Although your job duties, title, compensation and benefits, as well as Figure’s personnel policies and procedures, may change from time to time, the “at will” nature of your employment may only be changed in an express written agreement signed by you and the Chairman of the Board.</w:t>
      </w:r>
    </w:p>
    <w:p>
      <w:pPr>
        <w:pStyle w:val="TextBody"/>
        <w:bidi w:val="0"/>
        <w:spacing w:lineRule="auto" w:line="276" w:before="248" w:after="283"/>
        <w:ind w:left="0" w:right="0" w:hanging="630"/>
        <w:jc w:val="both"/>
        <w:rPr/>
      </w:pPr>
      <w:r>
        <w:rPr>
          <w:rFonts w:ascii="Times New Roman;serif" w:hAnsi="Times New Roman;serif"/>
          <w:b w:val="false"/>
          <w:color w:val="000000"/>
          <w:sz w:val="24"/>
        </w:rPr>
        <w:t>14.</w:t>
      </w:r>
      <w:r>
        <w:rPr>
          <w:rFonts w:ascii="Times New Roman;serif" w:hAnsi="Times New Roman;serif"/>
          <w:b/>
          <w:color w:val="000000"/>
          <w:sz w:val="24"/>
          <w:u w:val="single"/>
        </w:rPr>
        <w:t>Tax Matters.</w:t>
      </w:r>
      <w:r>
        <w:rPr>
          <w:color w:val="000000"/>
        </w:rPr>
        <w:t xml:space="preserve"> </w:t>
      </w:r>
      <w:r>
        <w:rPr>
          <w:rFonts w:ascii="Times New Roman;serif" w:hAnsi="Times New Roman;serif"/>
          <w:b w:val="false"/>
          <w:color w:val="000000"/>
          <w:sz w:val="24"/>
        </w:rPr>
        <w:t>You are encouraged to obtain your own tax advice regarding your compensation from Figure. You agree that Figure does not have a duty to design its compensation policies in a manner that minimizes your tax liabilities, and you will not make any claim against Figure or its Board related to tax liabilities arising from your compensation.</w:t>
      </w:r>
    </w:p>
    <w:p>
      <w:pPr>
        <w:pStyle w:val="TextBody"/>
        <w:bidi w:val="0"/>
        <w:spacing w:lineRule="auto" w:line="288" w:before="275" w:after="283"/>
        <w:ind w:left="0" w:right="0" w:hanging="360"/>
        <w:jc w:val="left"/>
        <w:rPr/>
      </w:pPr>
      <w:r>
        <w:rPr>
          <w:rFonts w:ascii="Times New Roman;serif" w:hAnsi="Times New Roman;serif"/>
          <w:b w:val="false"/>
          <w:color w:val="000000"/>
          <w:sz w:val="24"/>
        </w:rPr>
        <w:t>(a)</w:t>
      </w:r>
      <w:r>
        <w:rPr>
          <w:rFonts w:ascii="Times New Roman;serif" w:hAnsi="Times New Roman;serif"/>
          <w:b/>
          <w:color w:val="000000"/>
          <w:sz w:val="24"/>
        </w:rPr>
        <w:t xml:space="preserve">Section 409A. </w:t>
      </w:r>
      <w:r>
        <w:rPr>
          <w:rFonts w:ascii="Times New Roman;serif" w:hAnsi="Times New Roman;serif"/>
          <w:b w:val="false"/>
          <w:color w:val="000000"/>
          <w:sz w:val="24"/>
        </w:rPr>
        <w:t xml:space="preserve">To the extent that any provision of this offer letter is ambiguous as to its exemption from or compliance with Section 409A of the Internal Revenue Code of 1986, as amended, and the regulations thereunder (“Section 409A”), the provision will be read in such a manner so that such payments hereunder are exempt from Section </w:t>
      </w:r>
    </w:p>
    <w:p>
      <w:pPr>
        <w:pStyle w:val="TextBody"/>
        <w:bidi w:val="0"/>
        <w:spacing w:before="0" w:after="0"/>
        <w:jc w:val="left"/>
        <w:rPr/>
      </w:pPr>
      <w:r>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6480175" cy="175260"/>
                <wp:effectExtent l="0" t="0" r="0" b="0"/>
                <wp:wrapNone/>
                <wp:docPr id="206" name="Frame2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75" w:after="283"/>
        <w:jc w:val="left"/>
        <w:rPr>
          <w:rFonts w:ascii="Times New Roman;serif" w:hAnsi="Times New Roman;serif"/>
          <w:b w:val="false"/>
          <w:color w:val="000000"/>
          <w:sz w:val="24"/>
        </w:rPr>
      </w:pPr>
      <w:r>
        <w:rPr>
          <w:rFonts w:ascii="Times New Roman;serif" w:hAnsi="Times New Roman;serif"/>
          <w:b w:val="false"/>
          <w:color w:val="000000"/>
          <w:sz w:val="24"/>
        </w:rPr>
        <w:t>409A to the maximum permissible extent, and for any payments where such construction is not tenable, that those payments comply with Section 409A to the maximum permissible extent. To the extent any payment under this offer letter may be classified as a “short-term deferral” within the meaning of Section 409A, such payment will be deemed a short-term deferral, even if it may also qualify for an exemption from Section 409A under another provision of Section 409A. Payments pursuant to this offer letter are intended to constitute separate payments for purposes of Section 1.409A-2(b)(2) of the Treasury Regulations. In no event may you, directly or indirectly, designate the calendar year of any payment under this letter. All (i) reimbursements and (ii) in-kind benefits provided hereunder shall be made or provided in accordance with the requirements of Section 409A , including, where applicable, the requirement that (w) any reimbursement is for expenses incurred during your lifetime (or during a shorter period of time specified in this letter); (x) the amount of expenses eligible for reimbursement, or in kind benefits provided, during a calendar year may not affect the expenses eligible for reimbursement, or in kind benefits to be provided, in any other calendar year; (y) the reimbursement of an eligible expense will be made no later than the last day of the calendar year following the year in which the expense is incurred; and (z) the right to reimbursement or in kind benefits is not subject to liquidation or exchange for another benefit. Notwithstanding any other provision of this letter to the contrary, if you are considered a “specified employee” for purposes of Section 409A, any payment that constitutes nonqualified deferred compensation within the meaning of Section 409A that is otherwise due to you under this letter during the six (6)-month period following your separation from service (as determined in accordance with Section 409A) shall, to the extent necessary to avoid the imposition of penalty taxes on you, be accumulated and paid to you on the first scheduled payroll date which is more than six (6) months following your separation from service (the “Delayed Payment Date”). If you die during the postponement period, the amounts and entitlements delayed on account of Section 409A shall be paid to the personal representative of your estate on the first to occur of the Delayed Payment Date or thirty (30) calendar days after the date of your death.</w:t>
      </w:r>
    </w:p>
    <w:p>
      <w:pPr>
        <w:pStyle w:val="TextBody"/>
        <w:bidi w:val="0"/>
        <w:spacing w:before="13" w:after="283"/>
        <w:jc w:val="left"/>
        <w:rPr/>
      </w:pPr>
      <w:r>
        <w:rPr/>
      </w:r>
    </w:p>
    <w:p>
      <w:pPr>
        <w:pStyle w:val="TextBody"/>
        <w:bidi w:val="0"/>
        <w:spacing w:lineRule="auto" w:line="276"/>
        <w:ind w:left="0" w:right="0" w:hanging="360"/>
        <w:jc w:val="both"/>
        <w:rPr/>
      </w:pPr>
      <w:r>
        <w:rPr>
          <w:rFonts w:ascii="Times New Roman;serif" w:hAnsi="Times New Roman;serif"/>
          <w:b w:val="false"/>
          <w:color w:val="000000"/>
          <w:sz w:val="21"/>
        </w:rPr>
        <w:t>(b)</w:t>
      </w:r>
      <w:r>
        <w:rPr>
          <w:rFonts w:ascii="Times New Roman;serif" w:hAnsi="Times New Roman;serif"/>
          <w:b/>
          <w:color w:val="000000"/>
          <w:sz w:val="24"/>
        </w:rPr>
        <w:t xml:space="preserve">Section 280G. </w:t>
      </w:r>
      <w:r>
        <w:rPr>
          <w:rFonts w:ascii="Times New Roman;serif" w:hAnsi="Times New Roman;serif"/>
          <w:b w:val="false"/>
          <w:color w:val="000000"/>
          <w:sz w:val="24"/>
        </w:rPr>
        <w:t xml:space="preserve">In the event that the payments or benefits provided for in this letter or otherwise payable to you (i) constitute “parachute payments” within the meaning of Section 280G of the Internal Revenue Code and (ii) but for this Section 14(b), would be subject to the excise tax imposed by Section 4999 of the Code, then your benefits under this letter agreement or otherwise shall be payable either (a) in full, or (b) as to such lesser amount which would result in no portion of such benefits being subject to an excise tax under Section 4999 of the Code, whichever of the foregoing amounts, taking into account the applicable federal, state and local income taxes and the excise tax imposed by Section 4999, results in your receipt on an after-tax basis, of the greatest amount of benefits under this Agreement or otherwise, notwithstanding that all or some portion of such benefits may be taxable under Section 4999 of the Code. Unless you and the Company otherwise agree in writing, any determination required under this Section 14(b) shall be made in writing by the Company’s independent public accountants (the “Accountants”), whose determination shall be conclusive and binding upon you and the Company for all purposes. For purposes of making the calculations required by this Section 14(b), the Accountants may make reasonable assumptions and approximations concerning applicable taxes and may rely on reasonable, good faith interpretations concerning the application of Sections 280G and 4999 of the Code. With respect to any reduction required hereunder, reduction shall ccur in the following order: (i) reduction of payments of cash; and (ii) reduction in equity awards; and in each category reduction shall be pro rata between those </w:t>
      </w:r>
    </w:p>
    <w:p>
      <w:pPr>
        <w:pStyle w:val="TextBody"/>
        <w:bidi w:val="0"/>
        <w:spacing w:before="0" w:after="0"/>
        <w:jc w:val="left"/>
        <w:rPr/>
      </w:pPr>
      <w:r>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6480175" cy="175260"/>
                <wp:effectExtent l="0" t="0" r="0" b="0"/>
                <wp:wrapNone/>
                <wp:docPr id="207" name="Frame2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both"/>
        <w:rPr>
          <w:rFonts w:ascii="Times New Roman;serif" w:hAnsi="Times New Roman;serif"/>
          <w:b w:val="false"/>
          <w:color w:val="000000"/>
          <w:sz w:val="24"/>
        </w:rPr>
      </w:pPr>
      <w:r>
        <w:rPr>
          <w:rFonts w:ascii="Times New Roman;serif" w:hAnsi="Times New Roman;serif"/>
          <w:b w:val="false"/>
          <w:color w:val="000000"/>
          <w:sz w:val="24"/>
        </w:rPr>
        <w:t>payments subject to Section 409A and payments not subject to Section 409A. Notwithstanding the foregoing, if appropriate, as determined at the Company’s sole discretion, the Company will undertake a “cleansing vote” of stockholders in accordance with Section 280G of the Code and the regulations promulgated thereunder to remove the potential liability for the excise tax under Section 4999 of the Code.</w:t>
      </w:r>
    </w:p>
    <w:p>
      <w:pPr>
        <w:pStyle w:val="TextBody"/>
        <w:bidi w:val="0"/>
        <w:spacing w:lineRule="auto" w:line="276" w:before="247" w:after="283"/>
        <w:ind w:left="0" w:right="0" w:hanging="630"/>
        <w:jc w:val="both"/>
        <w:rPr/>
      </w:pPr>
      <w:r>
        <w:rPr>
          <w:rFonts w:ascii="Times New Roman;serif" w:hAnsi="Times New Roman;serif"/>
          <w:b w:val="false"/>
          <w:color w:val="000000"/>
          <w:sz w:val="24"/>
        </w:rPr>
        <w:t>15.</w:t>
      </w:r>
      <w:r>
        <w:rPr>
          <w:rFonts w:ascii="Times New Roman;serif" w:hAnsi="Times New Roman;serif"/>
          <w:b/>
          <w:color w:val="000000"/>
          <w:sz w:val="24"/>
          <w:u w:val="single"/>
        </w:rPr>
        <w:t>Legal Fees</w:t>
      </w:r>
      <w:r>
        <w:rPr>
          <w:rFonts w:ascii="Times New Roman;serif" w:hAnsi="Times New Roman;serif"/>
          <w:b/>
          <w:color w:val="000000"/>
          <w:sz w:val="24"/>
        </w:rPr>
        <w:t xml:space="preserve">. </w:t>
      </w:r>
      <w:r>
        <w:rPr>
          <w:rFonts w:ascii="Times New Roman;serif" w:hAnsi="Times New Roman;serif"/>
          <w:b w:val="false"/>
          <w:color w:val="000000"/>
          <w:sz w:val="24"/>
        </w:rPr>
        <w:t>The Company shall pay the aggregate amount of your reasonable attorneys’ fees, up to $15,000, in connection with the negotiation and preparation of this letter and any attachments, agreements, Exhibits and other documents referenced herein between you and the Company.</w:t>
      </w:r>
    </w:p>
    <w:p>
      <w:pPr>
        <w:pStyle w:val="TextBody"/>
        <w:bidi w:val="0"/>
        <w:spacing w:lineRule="auto" w:line="276" w:before="242" w:after="283"/>
        <w:ind w:left="0" w:right="0" w:hanging="630"/>
        <w:jc w:val="both"/>
        <w:rPr/>
      </w:pPr>
      <w:r>
        <w:rPr>
          <w:rFonts w:ascii="Times New Roman;serif" w:hAnsi="Times New Roman;serif"/>
          <w:b w:val="false"/>
          <w:color w:val="000000"/>
          <w:sz w:val="24"/>
        </w:rPr>
        <w:t>16.</w:t>
      </w:r>
      <w:r>
        <w:rPr>
          <w:rFonts w:ascii="Times New Roman;serif" w:hAnsi="Times New Roman;serif"/>
          <w:b/>
          <w:color w:val="000000"/>
          <w:sz w:val="24"/>
          <w:u w:val="single"/>
        </w:rPr>
        <w:t>Outside Activities</w:t>
      </w:r>
      <w:r>
        <w:rPr>
          <w:rFonts w:ascii="Times New Roman;serif" w:hAnsi="Times New Roman;serif"/>
          <w:b w:val="false"/>
          <w:color w:val="000000"/>
          <w:sz w:val="24"/>
        </w:rPr>
        <w:t>. While you render services to Figure, you agree that you will not engage in any other employment, consulting or other business activity without the written consent of the Board other than as set forth in Section 3 of this Agreement and Exhibit D of the Confidentiality Agreement. In addition, while you render services to Figure, you will not assist any person or entity in competing with Figure, in preparing to compete with Figure or in hiring any employees or consultants of Figure.</w:t>
      </w:r>
    </w:p>
    <w:p>
      <w:pPr>
        <w:pStyle w:val="TextBody"/>
        <w:bidi w:val="0"/>
        <w:spacing w:before="19" w:after="283"/>
        <w:jc w:val="left"/>
        <w:rPr/>
      </w:pPr>
      <w:r>
        <w:rPr/>
      </w:r>
    </w:p>
    <w:p>
      <w:pPr>
        <w:pStyle w:val="TextBody"/>
        <w:bidi w:val="0"/>
        <w:spacing w:lineRule="auto" w:line="276" w:before="1" w:after="283"/>
        <w:ind w:left="0" w:right="0" w:hanging="630"/>
        <w:jc w:val="both"/>
        <w:rPr/>
      </w:pPr>
      <w:r>
        <w:rPr>
          <w:rFonts w:ascii="Times New Roman;serif" w:hAnsi="Times New Roman;serif"/>
          <w:b w:val="false"/>
          <w:color w:val="000000"/>
          <w:sz w:val="24"/>
        </w:rPr>
        <w:t>17.</w:t>
      </w:r>
      <w:r>
        <w:rPr>
          <w:rFonts w:ascii="Times New Roman;serif" w:hAnsi="Times New Roman;serif"/>
          <w:b/>
          <w:color w:val="000000"/>
          <w:sz w:val="24"/>
          <w:u w:val="single"/>
        </w:rPr>
        <w:t>Background Check</w:t>
      </w:r>
      <w:r>
        <w:rPr>
          <w:rFonts w:ascii="Times New Roman;serif" w:hAnsi="Times New Roman;serif"/>
          <w:b w:val="false"/>
          <w:color w:val="000000"/>
          <w:sz w:val="24"/>
        </w:rPr>
        <w:t>. We are extending this offer contingent upon satisfactory completion of our routine background, consumer credit report, and reference check (collectively, the “Background Check”). Figure will complete the Background Check prior to the Effective Date. If the Background Check is not complete prior to April 19</w:t>
      </w:r>
      <w:r>
        <w:rPr>
          <w:rFonts w:ascii="Times New Roman;serif" w:hAnsi="Times New Roman;serif"/>
          <w:b w:val="false"/>
          <w:color w:val="202020"/>
          <w:sz w:val="24"/>
        </w:rPr>
        <w:t>, 2024, Figure may postpone your start date or terminate this Agreement</w:t>
      </w:r>
      <w:r>
        <w:rPr>
          <w:rFonts w:ascii="Times New Roman;serif" w:hAnsi="Times New Roman;serif"/>
          <w:b w:val="false"/>
          <w:color w:val="000000"/>
          <w:sz w:val="24"/>
        </w:rPr>
        <w:t>. More information and consent to the background check will be provided in a separate communication.</w:t>
      </w:r>
    </w:p>
    <w:p>
      <w:pPr>
        <w:pStyle w:val="TextBody"/>
        <w:bidi w:val="0"/>
        <w:spacing w:before="249" w:after="283"/>
        <w:jc w:val="left"/>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 * * *</w:t>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6480175" cy="175260"/>
                <wp:effectExtent l="0" t="0" r="0" b="0"/>
                <wp:wrapNone/>
                <wp:docPr id="208" name="Frame2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5" w:before="84" w:after="283"/>
        <w:ind w:left="0" w:right="0" w:hanging="10"/>
        <w:jc w:val="both"/>
        <w:rPr>
          <w:rFonts w:ascii="Times New Roman;serif" w:hAnsi="Times New Roman;serif"/>
          <w:b w:val="false"/>
          <w:color w:val="000000"/>
          <w:sz w:val="24"/>
        </w:rPr>
      </w:pPr>
      <w:r>
        <w:rPr>
          <w:rFonts w:ascii="Times New Roman;serif" w:hAnsi="Times New Roman;serif"/>
          <w:b w:val="false"/>
          <w:color w:val="000000"/>
          <w:sz w:val="24"/>
        </w:rPr>
        <w:t>We hope that you will accept our offer to join Figure. You may indicate your agreement with these terms and accept this offer by signing and dating this Agreement.</w:t>
      </w:r>
    </w:p>
    <w:p>
      <w:pPr>
        <w:pStyle w:val="TextBody"/>
        <w:bidi w:val="0"/>
        <w:spacing w:lineRule="auto" w:line="285" w:before="265" w:after="283"/>
        <w:ind w:left="0" w:right="0" w:hanging="10"/>
        <w:jc w:val="both"/>
        <w:rPr/>
      </w:pPr>
      <w:r>
        <w:rPr>
          <w:rFonts w:ascii="Times New Roman;serif" w:hAnsi="Times New Roman;serif"/>
          <w:b w:val="false"/>
          <w:color w:val="000000"/>
          <w:sz w:val="24"/>
        </w:rPr>
        <w:t xml:space="preserve">This offer, if not accepted, will expire at the close of business on </w:t>
      </w:r>
      <w:r>
        <w:rPr>
          <w:rFonts w:ascii="Times New Roman;serif" w:hAnsi="Times New Roman;serif"/>
          <w:b w:val="false"/>
          <w:color w:val="202020"/>
          <w:sz w:val="24"/>
        </w:rPr>
        <w:t>April 16, 2024</w:t>
      </w:r>
      <w:r>
        <w:rPr>
          <w:rFonts w:ascii="Times New Roman;serif" w:hAnsi="Times New Roman;serif"/>
          <w:b w:val="false"/>
          <w:color w:val="000000"/>
          <w:sz w:val="24"/>
        </w:rPr>
        <w:t xml:space="preserve">. As required by law, your employment with Figure is contingent upon your providing legal proof of your identity and authorization to work in the United States. Your employment is also contingent upon acceptable Background Check results and you starting work with Figure on or before </w:t>
      </w:r>
      <w:r>
        <w:rPr>
          <w:rFonts w:ascii="Times New Roman;serif" w:hAnsi="Times New Roman;serif"/>
          <w:b w:val="false"/>
          <w:color w:val="202020"/>
          <w:sz w:val="24"/>
        </w:rPr>
        <w:t>the Effective Date</w:t>
      </w:r>
      <w:r>
        <w:rPr>
          <w:rFonts w:ascii="Times New Roman;serif" w:hAnsi="Times New Roman;serif"/>
          <w:b w:val="false"/>
          <w:color w:val="000000"/>
          <w:sz w:val="24"/>
        </w:rPr>
        <w:t>.</w:t>
      </w:r>
    </w:p>
    <w:p>
      <w:pPr>
        <w:pStyle w:val="TextBody"/>
        <w:bidi w:val="0"/>
        <w:spacing w:before="252" w:after="283"/>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Kind Regards,</w:t>
      </w:r>
    </w:p>
    <w:tbl>
      <w:tblPr>
        <w:tblW w:w="4602" w:type="dxa"/>
        <w:jc w:val="left"/>
        <w:tblInd w:w="0" w:type="dxa"/>
        <w:tblLayout w:type="fixed"/>
        <w:tblCellMar>
          <w:top w:w="28" w:type="dxa"/>
          <w:left w:w="28" w:type="dxa"/>
          <w:bottom w:w="28" w:type="dxa"/>
          <w:right w:w="28" w:type="dxa"/>
        </w:tblCellMar>
      </w:tblPr>
      <w:tblGrid>
        <w:gridCol w:w="1182"/>
        <w:gridCol w:w="1042"/>
        <w:gridCol w:w="1046"/>
        <w:gridCol w:w="109"/>
        <w:gridCol w:w="109"/>
        <w:gridCol w:w="109"/>
        <w:gridCol w:w="294"/>
        <w:gridCol w:w="294"/>
        <w:gridCol w:w="417"/>
      </w:tblGrid>
      <w:tr>
        <w:trPr/>
        <w:tc>
          <w:tcPr>
            <w:tcW w:w="1182"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Doug Burns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4/15/2024</w:t>
            </w:r>
          </w:p>
        </w:tc>
      </w:tr>
      <w:tr>
        <w:trPr/>
        <w:tc>
          <w:tcPr>
            <w:tcW w:w="32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Douglas Burns, Chief People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15" w:after="283"/>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I have read and accept this employment offer:</w:t>
      </w:r>
    </w:p>
    <w:p>
      <w:pPr>
        <w:pStyle w:val="TextBody"/>
        <w:bidi w:val="0"/>
        <w:spacing w:before="0" w:after="0"/>
        <w:jc w:val="left"/>
        <w:rPr/>
      </w:pPr>
      <w:r>
        <w:rPr/>
      </w:r>
    </w:p>
    <w:tbl>
      <w:tblPr>
        <w:tblW w:w="3596" w:type="dxa"/>
        <w:jc w:val="left"/>
        <w:tblInd w:w="0" w:type="dxa"/>
        <w:tblLayout w:type="fixed"/>
        <w:tblCellMar>
          <w:top w:w="28" w:type="dxa"/>
          <w:left w:w="28" w:type="dxa"/>
          <w:bottom w:w="28" w:type="dxa"/>
          <w:right w:w="28" w:type="dxa"/>
        </w:tblCellMar>
      </w:tblPr>
      <w:tblGrid>
        <w:gridCol w:w="820"/>
        <w:gridCol w:w="721"/>
        <w:gridCol w:w="723"/>
        <w:gridCol w:w="109"/>
        <w:gridCol w:w="109"/>
        <w:gridCol w:w="109"/>
        <w:gridCol w:w="294"/>
        <w:gridCol w:w="294"/>
        <w:gridCol w:w="417"/>
      </w:tblGrid>
      <w:tr>
        <w:trPr/>
        <w:tc>
          <w:tcPr>
            <w:tcW w:w="820"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Michael Tannenbaum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4/16/2024</w:t>
            </w:r>
          </w:p>
        </w:tc>
      </w:tr>
      <w:tr>
        <w:trPr/>
        <w:tc>
          <w:tcPr>
            <w:tcW w:w="22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6480175" cy="175260"/>
                <wp:effectExtent l="0" t="0" r="0" b="0"/>
                <wp:wrapNone/>
                <wp:docPr id="209" name="Frame2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 w:after="283"/>
        <w:jc w:val="center"/>
        <w:rPr/>
      </w:pPr>
      <w:r>
        <w:rPr/>
      </w:r>
    </w:p>
    <w:p>
      <w:pPr>
        <w:pStyle w:val="TextBody"/>
        <w:bidi w:val="0"/>
        <w:spacing w:lineRule="auto" w:line="288" w:before="1" w:after="283"/>
        <w:jc w:val="center"/>
        <w:rPr>
          <w:rFonts w:ascii="Times New Roman;serif" w:hAnsi="Times New Roman;serif"/>
          <w:b/>
          <w:color w:val="000000"/>
          <w:sz w:val="24"/>
          <w:u w:val="single"/>
        </w:rPr>
      </w:pPr>
      <w:r>
        <w:rPr>
          <w:rFonts w:ascii="Times New Roman;serif" w:hAnsi="Times New Roman;serif"/>
          <w:b/>
          <w:color w:val="000000"/>
          <w:sz w:val="24"/>
          <w:u w:val="single"/>
        </w:rPr>
        <w:t>Exhibit 1</w:t>
      </w:r>
    </w:p>
    <w:p>
      <w:pPr>
        <w:pStyle w:val="TextBody"/>
        <w:bidi w:val="0"/>
        <w:spacing w:lineRule="auto" w:line="288" w:before="21" w:after="283"/>
        <w:jc w:val="center"/>
        <w:rPr>
          <w:rFonts w:ascii="Times New Roman;serif" w:hAnsi="Times New Roman;serif"/>
          <w:b/>
          <w:color w:val="000000"/>
          <w:sz w:val="24"/>
          <w:u w:val="single"/>
        </w:rPr>
      </w:pPr>
      <w:r>
        <w:rPr>
          <w:rFonts w:ascii="Times New Roman;serif" w:hAnsi="Times New Roman;serif"/>
          <w:b/>
          <w:color w:val="000000"/>
          <w:sz w:val="24"/>
          <w:u w:val="single"/>
        </w:rPr>
        <w:t>FT INTERMEDIATE, INC</w:t>
      </w:r>
    </w:p>
    <w:p>
      <w:pPr>
        <w:pStyle w:val="TextBody"/>
        <w:bidi w:val="0"/>
        <w:spacing w:lineRule="auto" w:line="288" w:before="22" w:after="283"/>
        <w:jc w:val="center"/>
        <w:rPr>
          <w:rFonts w:ascii="Times New Roman;serif" w:hAnsi="Times New Roman;serif"/>
          <w:b/>
          <w:color w:val="000000"/>
          <w:sz w:val="24"/>
          <w:u w:val="single"/>
        </w:rPr>
      </w:pPr>
      <w:r>
        <w:rPr>
          <w:rFonts w:ascii="Times New Roman;serif" w:hAnsi="Times New Roman;serif"/>
          <w:b/>
          <w:color w:val="000000"/>
          <w:sz w:val="24"/>
          <w:u w:val="single"/>
        </w:rPr>
        <w:t>CONFIDENTIAL INFORMATION &amp; INVENTION ASSIGNMENT AGREEMENT</w:t>
      </w:r>
    </w:p>
    <w:p>
      <w:pPr>
        <w:pStyle w:val="TextBody"/>
        <w:bidi w:val="0"/>
        <w:spacing w:before="172" w:after="283"/>
        <w:jc w:val="left"/>
        <w:rPr/>
      </w:pPr>
      <w:r>
        <w:rPr/>
      </w:r>
    </w:p>
    <w:p>
      <w:pPr>
        <w:pStyle w:val="TextBody"/>
        <w:bidi w:val="0"/>
        <w:spacing w:lineRule="auto" w:line="276" w:before="0" w:after="0"/>
        <w:jc w:val="both"/>
        <w:rPr/>
      </w:pPr>
      <w:r>
        <w:rPr>
          <w:rFonts w:ascii="Times New Roman;serif" w:hAnsi="Times New Roman;serif"/>
          <w:b w:val="false"/>
          <w:color w:val="000000"/>
          <w:sz w:val="21"/>
        </w:rPr>
        <w:t>As a condition of my employment with FT Intermediate, Inc., its subsidiaries, affiliates, successors or assigns (together, “</w:t>
      </w:r>
      <w:r>
        <w:rPr>
          <w:rFonts w:ascii="Times New Roman;serif" w:hAnsi="Times New Roman;serif"/>
          <w:b/>
          <w:color w:val="000000"/>
          <w:sz w:val="21"/>
        </w:rPr>
        <w:t>Figure</w:t>
      </w:r>
      <w:r>
        <w:rPr>
          <w:color w:val="000000"/>
        </w:rPr>
        <w:t xml:space="preserve">” </w:t>
      </w:r>
      <w:r>
        <w:rPr>
          <w:rFonts w:ascii="Times New Roman;serif" w:hAnsi="Times New Roman;serif"/>
          <w:b w:val="false"/>
          <w:color w:val="000000"/>
          <w:sz w:val="21"/>
        </w:rPr>
        <w:t>or “</w:t>
      </w:r>
      <w:r>
        <w:rPr>
          <w:rFonts w:ascii="Times New Roman;serif" w:hAnsi="Times New Roman;serif"/>
          <w:b/>
          <w:color w:val="000000"/>
          <w:sz w:val="21"/>
        </w:rPr>
        <w:t>Company</w:t>
      </w:r>
      <w:r>
        <w:rPr>
          <w:color w:val="000000"/>
        </w:rPr>
        <w:t>”</w:t>
      </w:r>
      <w:r>
        <w:rPr>
          <w:rFonts w:ascii="Times New Roman;serif" w:hAnsi="Times New Roman;serif"/>
          <w:b w:val="false"/>
          <w:color w:val="000000"/>
          <w:sz w:val="21"/>
        </w:rPr>
        <w:t>), and in consideration of my employment with the Company and my receipt of the compensation now and hereafter paid to me by Company, I agree to the following provisions of this Confidential Information &amp; Invention Assignment Agreement (this “</w:t>
      </w:r>
      <w:r>
        <w:rPr>
          <w:rFonts w:ascii="Times New Roman;serif" w:hAnsi="Times New Roman;serif"/>
          <w:b/>
          <w:color w:val="000000"/>
          <w:sz w:val="21"/>
        </w:rPr>
        <w:t>Confidential Information Agreement</w:t>
      </w:r>
      <w:r>
        <w:rPr>
          <w:color w:val="000000"/>
        </w:rPr>
        <w:t>”</w:t>
      </w:r>
      <w:r>
        <w:rPr>
          <w:rFonts w:ascii="Times New Roman;serif" w:hAnsi="Times New Roman;serif"/>
          <w:b w:val="false"/>
          <w:color w:val="000000"/>
          <w:sz w:val="21"/>
        </w:rPr>
        <w:t>):</w:t>
      </w:r>
    </w:p>
    <w:p>
      <w:pPr>
        <w:pStyle w:val="TextBody"/>
        <w:bidi w:val="0"/>
        <w:spacing w:before="22" w:after="283"/>
        <w:jc w:val="left"/>
        <w:rPr/>
      </w:pPr>
      <w:r>
        <w:rPr/>
      </w:r>
    </w:p>
    <w:p>
      <w:pPr>
        <w:pStyle w:val="TextBody"/>
        <w:bidi w:val="0"/>
        <w:spacing w:lineRule="auto" w:line="288" w:before="0" w:after="0"/>
        <w:ind w:left="0" w:right="0" w:hanging="725"/>
        <w:jc w:val="left"/>
        <w:rPr/>
      </w:pPr>
      <w:r>
        <w:rPr>
          <w:rFonts w:ascii="Times New Roman;serif" w:hAnsi="Times New Roman;serif"/>
          <w:b w:val="false"/>
          <w:color w:val="000000"/>
          <w:sz w:val="21"/>
        </w:rPr>
        <w:t>1.</w:t>
      </w:r>
      <w:r>
        <w:rPr>
          <w:rFonts w:ascii="Times New Roman;serif" w:hAnsi="Times New Roman;serif"/>
          <w:b/>
          <w:color w:val="000000"/>
          <w:sz w:val="21"/>
          <w:u w:val="single"/>
        </w:rPr>
        <w:t>APPLICABILITY TO PAST ACTIVITIES</w:t>
      </w:r>
    </w:p>
    <w:p>
      <w:pPr>
        <w:pStyle w:val="TextBody"/>
        <w:bidi w:val="0"/>
        <w:spacing w:before="198" w:after="283"/>
        <w:jc w:val="left"/>
        <w:rPr/>
      </w:pPr>
      <w:r>
        <w:rPr/>
      </w:r>
    </w:p>
    <w:p>
      <w:pPr>
        <w:pStyle w:val="TextBody"/>
        <w:bidi w:val="0"/>
        <w:spacing w:lineRule="auto" w:line="276" w:before="0" w:after="0"/>
        <w:jc w:val="both"/>
        <w:rPr/>
      </w:pPr>
      <w:r>
        <w:rPr>
          <w:rFonts w:ascii="Times New Roman;serif" w:hAnsi="Times New Roman;serif"/>
          <w:b w:val="false"/>
          <w:color w:val="000000"/>
          <w:sz w:val="21"/>
        </w:rPr>
        <w:t>Figure and I acknowledge that I have been engaged to provide services by Figure for a period of time prior to the date of this Confidential Information Agreement (the “</w:t>
      </w:r>
      <w:r>
        <w:rPr>
          <w:rFonts w:ascii="Times New Roman;serif" w:hAnsi="Times New Roman;serif"/>
          <w:b/>
          <w:color w:val="000000"/>
          <w:sz w:val="21"/>
        </w:rPr>
        <w:t>Prior Engagement Period</w:t>
      </w:r>
      <w:r>
        <w:rPr>
          <w:color w:val="000000"/>
        </w:rPr>
        <w:t>”</w:t>
      </w:r>
      <w:r>
        <w:rPr>
          <w:rFonts w:ascii="Times New Roman;serif" w:hAnsi="Times New Roman;serif"/>
          <w:b w:val="false"/>
          <w:color w:val="000000"/>
          <w:sz w:val="21"/>
        </w:rPr>
        <w:t>). Accordingly, I agree that if and to the extent that, during the Prior Engagement Period: (i) I received access to any information from or on behalf of Company that would have been “Company Confidential Information” (as defined below) if I received access to such information during the period of my employment with Company under this Confidential Information Agreement; or (ii) I conceived, created, authored, invented, developed or reduced to practice any item, including any intellectual property rights with respect thereto, that would have been an “Invention” (as defined below) if conceived, created, authored, invented, developed or reduced to practice during the period of my employment with Company under this Confidential Information Agreement; then any such information shall be deemed “Company Confidential Information” hereunder and any such item shall be deemed an “Invention” hereunder, and this this Confidential Information Agreement shall apply to such information or item as if conceived, created, authored, invented, developed or reduced to practice under this this Confidential Information Agreement.</w:t>
      </w:r>
    </w:p>
    <w:p>
      <w:pPr>
        <w:pStyle w:val="TextBody"/>
        <w:bidi w:val="0"/>
        <w:spacing w:before="26" w:after="283"/>
        <w:jc w:val="left"/>
        <w:rPr/>
      </w:pPr>
      <w:r>
        <w:rPr/>
      </w:r>
    </w:p>
    <w:p>
      <w:pPr>
        <w:pStyle w:val="TextBody"/>
        <w:bidi w:val="0"/>
        <w:spacing w:lineRule="auto" w:line="288" w:before="1" w:after="283"/>
        <w:ind w:left="0" w:right="0" w:hanging="736"/>
        <w:jc w:val="left"/>
        <w:rPr/>
      </w:pPr>
      <w:r>
        <w:rPr>
          <w:rFonts w:ascii="Times New Roman;serif" w:hAnsi="Times New Roman;serif"/>
          <w:b w:val="false"/>
          <w:color w:val="000000"/>
          <w:sz w:val="21"/>
        </w:rPr>
        <w:t>2.</w:t>
      </w:r>
      <w:r>
        <w:rPr>
          <w:rFonts w:ascii="Times New Roman;serif" w:hAnsi="Times New Roman;serif"/>
          <w:b/>
          <w:color w:val="000000"/>
          <w:sz w:val="21"/>
          <w:u w:val="single"/>
        </w:rPr>
        <w:t>CONFIDENTIALITY</w:t>
      </w:r>
    </w:p>
    <w:p>
      <w:pPr>
        <w:pStyle w:val="TextBody"/>
        <w:bidi w:val="0"/>
        <w:spacing w:before="208" w:after="283"/>
        <w:jc w:val="left"/>
        <w:rPr/>
      </w:pPr>
      <w:r>
        <w:rPr/>
      </w:r>
    </w:p>
    <w:p>
      <w:pPr>
        <w:pStyle w:val="TextBody"/>
        <w:bidi w:val="0"/>
        <w:spacing w:lineRule="auto" w:line="276"/>
        <w:ind w:left="0" w:right="0" w:firstLine="710"/>
        <w:jc w:val="both"/>
        <w:rPr/>
      </w:pPr>
      <w:r>
        <w:rPr>
          <w:rFonts w:ascii="Times New Roman;serif" w:hAnsi="Times New Roman;serif"/>
          <w:b w:val="false"/>
          <w:color w:val="000000"/>
          <w:sz w:val="21"/>
        </w:rPr>
        <w:t>A.</w:t>
      </w:r>
      <w:r>
        <w:rPr>
          <w:rFonts w:ascii="Times New Roman;serif" w:hAnsi="Times New Roman;serif"/>
          <w:b w:val="false"/>
          <w:i/>
          <w:color w:val="000000"/>
          <w:sz w:val="21"/>
        </w:rPr>
        <w:t>Definition of Company Confidential Information</w:t>
      </w:r>
      <w:r>
        <w:rPr>
          <w:rFonts w:ascii="Times New Roman;serif" w:hAnsi="Times New Roman;serif"/>
          <w:b w:val="false"/>
          <w:color w:val="000000"/>
          <w:sz w:val="21"/>
        </w:rPr>
        <w:t>. I understand that “</w:t>
      </w:r>
      <w:r>
        <w:rPr>
          <w:rFonts w:ascii="Times New Roman;serif" w:hAnsi="Times New Roman;serif"/>
          <w:b/>
          <w:color w:val="000000"/>
          <w:sz w:val="21"/>
        </w:rPr>
        <w:t>Company Confidential Information</w:t>
      </w:r>
      <w:r>
        <w:rPr>
          <w:color w:val="000000"/>
        </w:rPr>
        <w:t xml:space="preserve">” </w:t>
      </w:r>
      <w:r>
        <w:rPr>
          <w:rFonts w:ascii="Times New Roman;serif" w:hAnsi="Times New Roman;serif"/>
          <w:b w:val="false"/>
          <w:color w:val="000000"/>
          <w:sz w:val="21"/>
        </w:rPr>
        <w:t xml:space="preserve">means information (including any and all combinations of individual items of information) that the Company has or will develop, acquire, create, compile, discover or own, that has value in or to the Company’s business which is not known to the general public and which the Company wishes to maintain as confidential. Company Confidential Information includes both information disclosed by the Company to me, and information developed or learned by me during the course of my employment with Company. Company Confidential Information also includes all information of which the unauthorized disclosure could be detrimental to the interests of Company, whether or not such information is identified as Company Confidential Information. By example, and without limitation, Company Confidential Information includes any and all non-public information that relates to the actual or anticipated business and/or products, research or development of the Company, or to the Company’s technical data, trade secrets, or know-how, including, but not limited to, research, product plans, or other information regarding the Company’s products or services and markets therefor, pricing information, profitability analyses, customer lists and customers (including, but not limited to, customers of the Company on which I called or with which I may become acquainted during the term of my employment), customer preferences, software, developments, inventions, discoveries, ideas, processes, formulas, technology, designs, drawings, engineering, hardware configuration information, marketing, finances, and other business information disclosed by the Company either directly or indirectly in writing, orally or by drawings or inspection of premises, parts, equipment, or other Company property. Notwithstanding the foregoing, Company Confidential Information shall not include any such information which I can establish (i) was publicly known or made generally available prior to the time of disclosure by Company to me; (ii) becomes publicly known or made generally available after disclosure by Company to me through no wrongful action or omission by me; or (iii) is in my rightful possession, without confidentiality obligations, at the time of disclosure by Company as shown by my then-contemporaneous written records; provided that any combination of individual items of information shall not be deemed to be within any of the foregoing exceptions merely because one or more of the individual items are within such exception, unless the combination as a whole is within such exception. I understand that nothing in this this Confidential Information Agreement is intended to </w:t>
      </w:r>
    </w:p>
    <w:p>
      <w:pPr>
        <w:pStyle w:val="TextBody"/>
        <w:bidi w:val="0"/>
        <w:spacing w:before="0" w:after="0"/>
        <w:jc w:val="left"/>
        <w:rPr/>
      </w:pPr>
      <w:r>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6480175" cy="175260"/>
                <wp:effectExtent l="0" t="0" r="0" b="0"/>
                <wp:wrapNone/>
                <wp:docPr id="210" name="Frame20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both"/>
        <w:rPr>
          <w:rFonts w:ascii="Times New Roman;serif" w:hAnsi="Times New Roman;serif"/>
          <w:b w:val="false"/>
          <w:color w:val="000000"/>
          <w:sz w:val="21"/>
        </w:rPr>
      </w:pPr>
      <w:r>
        <w:rPr>
          <w:rFonts w:ascii="Times New Roman;serif" w:hAnsi="Times New Roman;serif"/>
          <w:b w:val="false"/>
          <w:color w:val="000000"/>
          <w:sz w:val="21"/>
        </w:rPr>
        <w:t>limit employees’ rights to discuss the terms, wages, and working conditions of their employment, as protected by applicable law.</w:t>
      </w:r>
    </w:p>
    <w:p>
      <w:pPr>
        <w:pStyle w:val="TextBody"/>
        <w:bidi w:val="0"/>
        <w:spacing w:before="103" w:after="283"/>
        <w:jc w:val="left"/>
        <w:rPr/>
      </w:pPr>
      <w:r>
        <w:rPr/>
      </w:r>
    </w:p>
    <w:p>
      <w:pPr>
        <w:pStyle w:val="TextBody"/>
        <w:bidi w:val="0"/>
        <w:spacing w:lineRule="auto" w:line="276" w:before="0" w:after="0"/>
        <w:ind w:left="0" w:right="0" w:firstLine="710"/>
        <w:jc w:val="both"/>
        <w:rPr/>
      </w:pPr>
      <w:r>
        <w:rPr>
          <w:rFonts w:ascii="Times New Roman;serif" w:hAnsi="Times New Roman;serif"/>
          <w:b w:val="false"/>
          <w:color w:val="000000"/>
          <w:sz w:val="21"/>
        </w:rPr>
        <w:t>B.</w:t>
      </w:r>
      <w:r>
        <w:rPr>
          <w:rFonts w:ascii="Times New Roman;serif" w:hAnsi="Times New Roman;serif"/>
          <w:b w:val="false"/>
          <w:i/>
          <w:color w:val="000000"/>
          <w:sz w:val="21"/>
        </w:rPr>
        <w:t>Nonuse and Nondisclosure</w:t>
      </w:r>
      <w:r>
        <w:rPr>
          <w:rFonts w:ascii="Times New Roman;serif" w:hAnsi="Times New Roman;serif"/>
          <w:b w:val="false"/>
          <w:color w:val="000000"/>
          <w:sz w:val="21"/>
        </w:rPr>
        <w:t>. I agree that during and after my employment with the Company, I will hold in the strictest confidence, and take all reasonable precautions to prevent any unauthorized use or disclosure of Company Confidential Information, and I will not (i) use the Company Confidential Information for any purpose whatsoever other than for the benefit of the Company in the course of my employment, or (ii) disclose the Company Confidential Information to any third party without the prior written authorization of the Board of Directors of the Company (the “Board”). Prior to disclosure when compelled by applicable law; I shall provide prior written notice to the Board (as applicable). I agree that I obtain no title to any Company Confidential Information, and that as between Company and myself, Figure retains all Company Confidential Information as the sole property of Figure. I understand that my unauthorized use or disclosure of Company Confidential Information during my employment may lead to disciplinary action, up to and including immediate termination and legal action by the Company. I understand that my obligations under this Section 3.B shall continue after termination of my employment. I understand that I am required to return all Company Confidential Information to Figure when my employment ends.</w:t>
      </w:r>
    </w:p>
    <w:p>
      <w:pPr>
        <w:pStyle w:val="TextBody"/>
        <w:bidi w:val="0"/>
        <w:spacing w:before="28" w:after="283"/>
        <w:jc w:val="left"/>
        <w:rPr/>
      </w:pPr>
      <w:r>
        <w:rPr/>
      </w:r>
    </w:p>
    <w:p>
      <w:pPr>
        <w:pStyle w:val="TextBody"/>
        <w:bidi w:val="0"/>
        <w:spacing w:lineRule="auto" w:line="276" w:before="0" w:after="0"/>
        <w:ind w:left="0" w:right="0" w:firstLine="710"/>
        <w:jc w:val="both"/>
        <w:rPr/>
      </w:pPr>
      <w:r>
        <w:rPr>
          <w:rFonts w:ascii="Times New Roman;serif" w:hAnsi="Times New Roman;serif"/>
          <w:b w:val="false"/>
          <w:color w:val="000000"/>
          <w:sz w:val="21"/>
        </w:rPr>
        <w:t>C.</w:t>
      </w:r>
      <w:r>
        <w:rPr>
          <w:rFonts w:ascii="Times New Roman;serif" w:hAnsi="Times New Roman;serif"/>
          <w:b w:val="false"/>
          <w:i/>
          <w:color w:val="000000"/>
          <w:sz w:val="21"/>
        </w:rPr>
        <w:t>Former Employer Confidential Information</w:t>
      </w:r>
      <w:r>
        <w:rPr>
          <w:rFonts w:ascii="Times New Roman;serif" w:hAnsi="Times New Roman;serif"/>
          <w:b w:val="false"/>
          <w:color w:val="000000"/>
          <w:sz w:val="21"/>
        </w:rPr>
        <w:t>. I agree that during my employment with the Company, I will not improperly use, disclose, or induce the Company to use any proprietary information or trade secrets of any former employer or other person or entity with which I have an obligation to keep in confidence. I further agree that I will not bring onto the Company’s premises or transfer onto the Company’s technology systems any unpublished document, proprietary information, or trade secrets belonging to any such third party unless disclosure to, and use by, the Company has been consented to in writing by such third party.</w:t>
      </w:r>
    </w:p>
    <w:p>
      <w:pPr>
        <w:pStyle w:val="TextBody"/>
        <w:bidi w:val="0"/>
        <w:spacing w:before="26" w:after="283"/>
        <w:jc w:val="left"/>
        <w:rPr/>
      </w:pPr>
      <w:r>
        <w:rPr/>
      </w:r>
    </w:p>
    <w:p>
      <w:pPr>
        <w:pStyle w:val="TextBody"/>
        <w:bidi w:val="0"/>
        <w:spacing w:lineRule="auto" w:line="276" w:before="0" w:after="0"/>
        <w:ind w:left="0" w:right="0" w:firstLine="710"/>
        <w:jc w:val="left"/>
        <w:rPr/>
      </w:pPr>
      <w:r>
        <w:rPr>
          <w:rFonts w:ascii="Times New Roman;serif" w:hAnsi="Times New Roman;serif"/>
          <w:b w:val="false"/>
          <w:color w:val="000000"/>
          <w:sz w:val="21"/>
        </w:rPr>
        <w:t>D.</w:t>
      </w:r>
      <w:r>
        <w:rPr>
          <w:rFonts w:ascii="Times New Roman;serif" w:hAnsi="Times New Roman;serif"/>
          <w:b w:val="false"/>
          <w:i/>
          <w:color w:val="000000"/>
          <w:sz w:val="21"/>
        </w:rPr>
        <w:t>Third Party Information</w:t>
      </w:r>
      <w:r>
        <w:rPr>
          <w:rFonts w:ascii="Times New Roman;serif" w:hAnsi="Times New Roman;serif"/>
          <w:b w:val="false"/>
          <w:color w:val="000000"/>
          <w:sz w:val="21"/>
        </w:rPr>
        <w:t>. I recognize that the Company has received and in the future will receive from third parties associated with the Company, e.g., the Company’s customers, suppliers, licensors, licensees, partners, or collaborators (“</w:t>
      </w:r>
      <w:r>
        <w:rPr>
          <w:rFonts w:ascii="Times New Roman;serif" w:hAnsi="Times New Roman;serif"/>
          <w:b/>
          <w:color w:val="000000"/>
          <w:sz w:val="21"/>
        </w:rPr>
        <w:t>Associated Third Parties</w:t>
      </w:r>
      <w:r>
        <w:rPr>
          <w:color w:val="000000"/>
        </w:rPr>
        <w:t>”</w:t>
      </w:r>
      <w:r>
        <w:rPr>
          <w:rFonts w:ascii="Times New Roman;serif" w:hAnsi="Times New Roman;serif"/>
          <w:b w:val="false"/>
          <w:color w:val="000000"/>
          <w:sz w:val="21"/>
        </w:rPr>
        <w:t>), their confidential or proprietary information (“</w:t>
      </w:r>
      <w:r>
        <w:rPr>
          <w:rFonts w:ascii="Times New Roman;serif" w:hAnsi="Times New Roman;serif"/>
          <w:b/>
          <w:color w:val="000000"/>
          <w:sz w:val="21"/>
        </w:rPr>
        <w:t>Associated Third Party Confidential Information</w:t>
      </w:r>
      <w:r>
        <w:rPr>
          <w:color w:val="000000"/>
        </w:rPr>
        <w:t>”</w:t>
      </w:r>
      <w:r>
        <w:rPr>
          <w:rFonts w:ascii="Times New Roman;serif" w:hAnsi="Times New Roman;serif"/>
          <w:b w:val="false"/>
          <w:color w:val="000000"/>
          <w:sz w:val="21"/>
        </w:rPr>
        <w:t>) subject to a duty on the Company’s part to maintain the confidentiality of such Associated Third Party Confidential Information and to use it only for certain limited purposes. By way of example, Associated Third Party Confidential Information may include the habits or practices of Associated Third Parties, the technology of Associated Third Parties, requirements of Associated Third Parties, and information related to the business conducted between the Company and such Associated Third Parties. I agree at all times during my employment with the Company and thereafter, that I owe the Company and its Associated Third Parties a duty to hold all such Associated Third Party Confidential Information in the strictest confidence, and not to use it or to disclose it to any person, firm, corporation, or other third party except as necessary in carrying out my work for the Company consistent with the Company’s agreement with such Associated Third Parties. I further agree to comply with any and all Company policies and guidelines that may be adopted from time to time regarding Associated Third Parties and Associated Third Party Confidential Information. I understand that my unauthorized use or disclosure of Associated Third Party Confidential Information or violation of any Company policies during my employment may lead to disciplinary action, up to and including immediate termination and legal action by the Company.</w:t>
      </w:r>
    </w:p>
    <w:p>
      <w:pPr>
        <w:pStyle w:val="TextBody"/>
        <w:bidi w:val="0"/>
        <w:spacing w:before="30" w:after="283"/>
        <w:jc w:val="left"/>
        <w:rPr/>
      </w:pPr>
      <w:r>
        <w:rPr/>
      </w:r>
    </w:p>
    <w:p>
      <w:pPr>
        <w:pStyle w:val="TextBody"/>
        <w:bidi w:val="0"/>
        <w:spacing w:lineRule="auto" w:line="288" w:before="0" w:after="0"/>
        <w:ind w:left="0" w:right="0" w:hanging="719"/>
        <w:jc w:val="left"/>
        <w:rPr/>
      </w:pPr>
      <w:r>
        <w:rPr>
          <w:rFonts w:ascii="Times New Roman;serif" w:hAnsi="Times New Roman;serif"/>
          <w:b w:val="false"/>
          <w:color w:val="000000"/>
          <w:sz w:val="21"/>
        </w:rPr>
        <w:t>3.</w:t>
      </w:r>
      <w:r>
        <w:rPr>
          <w:rFonts w:ascii="Times New Roman;serif" w:hAnsi="Times New Roman;serif"/>
          <w:b/>
          <w:color w:val="000000"/>
          <w:sz w:val="21"/>
        </w:rPr>
        <w:t>[RESERVED]</w:t>
      </w:r>
    </w:p>
    <w:p>
      <w:pPr>
        <w:pStyle w:val="TextBody"/>
        <w:bidi w:val="0"/>
        <w:spacing w:before="18" w:after="283"/>
        <w:jc w:val="left"/>
        <w:rPr/>
      </w:pPr>
      <w:r>
        <w:rPr/>
      </w:r>
    </w:p>
    <w:p>
      <w:pPr>
        <w:pStyle w:val="TextBody"/>
        <w:bidi w:val="0"/>
        <w:spacing w:lineRule="auto" w:line="288" w:before="0" w:after="0"/>
        <w:ind w:left="0" w:right="0" w:hanging="758"/>
        <w:jc w:val="left"/>
        <w:rPr/>
      </w:pPr>
      <w:r>
        <w:rPr>
          <w:rFonts w:ascii="Times New Roman;serif" w:hAnsi="Times New Roman;serif"/>
          <w:b w:val="false"/>
          <w:color w:val="000000"/>
          <w:sz w:val="21"/>
        </w:rPr>
        <w:t>4.</w:t>
      </w:r>
      <w:r>
        <w:rPr>
          <w:rFonts w:ascii="Times New Roman;serif" w:hAnsi="Times New Roman;serif"/>
          <w:b/>
          <w:color w:val="000000"/>
          <w:sz w:val="21"/>
          <w:u w:val="single"/>
        </w:rPr>
        <w:t>OWNERSHIP</w:t>
      </w:r>
    </w:p>
    <w:p>
      <w:pPr>
        <w:pStyle w:val="TextBody"/>
        <w:bidi w:val="0"/>
        <w:spacing w:lineRule="auto" w:line="276" w:before="18" w:after="283"/>
        <w:ind w:left="0" w:right="0" w:firstLine="710"/>
        <w:jc w:val="both"/>
        <w:rPr/>
      </w:pPr>
      <w:r>
        <w:rPr>
          <w:rFonts w:ascii="Times New Roman;serif" w:hAnsi="Times New Roman;serif"/>
          <w:b w:val="false"/>
          <w:color w:val="000000"/>
          <w:sz w:val="21"/>
        </w:rPr>
        <w:t>A.</w:t>
      </w:r>
      <w:r>
        <w:rPr>
          <w:rFonts w:ascii="Times New Roman;serif" w:hAnsi="Times New Roman;serif"/>
          <w:b w:val="false"/>
          <w:i/>
          <w:color w:val="000000"/>
          <w:sz w:val="21"/>
        </w:rPr>
        <w:t>Assignment of Inventions</w:t>
      </w:r>
      <w:r>
        <w:rPr>
          <w:rFonts w:ascii="Times New Roman;serif" w:hAnsi="Times New Roman;serif"/>
          <w:b w:val="false"/>
          <w:color w:val="000000"/>
          <w:sz w:val="21"/>
        </w:rPr>
        <w:t xml:space="preserve">. As between the Company and myself, I agree that all right, title, and interest in and to any and all copyrightable material, notes, records, drawings, designs, logos, inventions, improvements, developments, discoveries, ideas and trade secrets conceived, discovered, authored, invented, developed or reduced to practice by me, solely or in collaboration with others, during the period of time I am in the employ of the Company (including during my off-duty hours), or with the use of Company’s equipment, supplies, facilities, or Company Confidential Information, and any copyrights, patents, trade secrets, mask work rights or other intellectual property rights relating to the foregoing, except as provided in </w:t>
      </w:r>
      <w:r>
        <w:rPr>
          <w:rFonts w:ascii="Times New Roman;serif" w:hAnsi="Times New Roman;serif"/>
          <w:b/>
          <w:color w:val="000000"/>
          <w:sz w:val="21"/>
        </w:rPr>
        <w:t xml:space="preserve">Section 4.G </w:t>
      </w:r>
      <w:r>
        <w:rPr>
          <w:rFonts w:ascii="Times New Roman;serif" w:hAnsi="Times New Roman;serif"/>
          <w:b w:val="false"/>
          <w:color w:val="000000"/>
          <w:sz w:val="21"/>
        </w:rPr>
        <w:t>below (collectively, “</w:t>
      </w:r>
      <w:r>
        <w:rPr>
          <w:rFonts w:ascii="Times New Roman;serif" w:hAnsi="Times New Roman;serif"/>
          <w:b/>
          <w:color w:val="000000"/>
          <w:sz w:val="21"/>
        </w:rPr>
        <w:t>Inventions</w:t>
      </w:r>
      <w:r>
        <w:rPr>
          <w:color w:val="000000"/>
        </w:rPr>
        <w:t>”</w:t>
      </w:r>
      <w:r>
        <w:rPr>
          <w:rFonts w:ascii="Times New Roman;serif" w:hAnsi="Times New Roman;serif"/>
          <w:b w:val="false"/>
          <w:color w:val="000000"/>
          <w:sz w:val="21"/>
        </w:rPr>
        <w:t xml:space="preserve">), are the sole property of Figure. I also agree to promptly make full written disclosure to Figure of any Inventions, and to deliver and assign and hereby irrevocably assign fully to Figure all of my right, title and interest in and to Inventions. I agree that this assignment includes a present conveyance to Figure of ownership of Inventions that are not yet in existence. I further acknowledge that all original works of authorship that are made by me (solely or jointly with others) within the scope of and during the period of my employment with the Company and that are protectable by copyright are “works made for hire,” as that term is defined in the United States Copyright Act. I understand and agree that the decision whether or not to commercialize or market any Inventions is within the Company’s sole discretion and for the Company’s sole </w:t>
      </w:r>
    </w:p>
    <w:p>
      <w:pPr>
        <w:pStyle w:val="TextBody"/>
        <w:bidi w:val="0"/>
        <w:spacing w:before="0" w:after="0"/>
        <w:jc w:val="left"/>
        <w:rPr/>
      </w:pPr>
      <w:r>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6480175" cy="175260"/>
                <wp:effectExtent l="0" t="0" r="0" b="0"/>
                <wp:wrapNone/>
                <wp:docPr id="211" name="Frame2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18" w:after="283"/>
        <w:jc w:val="both"/>
        <w:rPr>
          <w:rFonts w:ascii="Times New Roman;serif" w:hAnsi="Times New Roman;serif"/>
          <w:b w:val="false"/>
          <w:color w:val="000000"/>
          <w:sz w:val="21"/>
        </w:rPr>
      </w:pPr>
      <w:r>
        <w:rPr>
          <w:rFonts w:ascii="Times New Roman;serif" w:hAnsi="Times New Roman;serif"/>
          <w:b w:val="false"/>
          <w:color w:val="000000"/>
          <w:sz w:val="21"/>
        </w:rPr>
        <w:t>benefit, and that no royalty or other consideration will be due to me as a result of the Company’s efforts to commercialize or market any such Inventions.</w:t>
      </w:r>
    </w:p>
    <w:p>
      <w:pPr>
        <w:pStyle w:val="TextBody"/>
        <w:bidi w:val="0"/>
        <w:spacing w:before="103" w:after="283"/>
        <w:jc w:val="left"/>
        <w:rPr/>
      </w:pPr>
      <w:r>
        <w:rPr/>
      </w:r>
    </w:p>
    <w:p>
      <w:pPr>
        <w:pStyle w:val="TextBody"/>
        <w:bidi w:val="0"/>
        <w:spacing w:lineRule="auto" w:line="276" w:before="0" w:after="0"/>
        <w:ind w:left="0" w:right="0" w:firstLine="710"/>
        <w:jc w:val="both"/>
        <w:rPr/>
      </w:pPr>
      <w:r>
        <w:rPr>
          <w:rFonts w:ascii="Times New Roman;serif" w:hAnsi="Times New Roman;serif"/>
          <w:b w:val="false"/>
          <w:color w:val="000000"/>
          <w:sz w:val="21"/>
        </w:rPr>
        <w:t>B.</w:t>
      </w:r>
      <w:r>
        <w:rPr>
          <w:rFonts w:ascii="Times New Roman;serif" w:hAnsi="Times New Roman;serif"/>
          <w:b w:val="false"/>
          <w:i/>
          <w:color w:val="000000"/>
          <w:sz w:val="21"/>
        </w:rPr>
        <w:t>Pre-Existing Materials</w:t>
      </w:r>
      <w:r>
        <w:rPr>
          <w:rFonts w:ascii="Times New Roman;serif" w:hAnsi="Times New Roman;serif"/>
          <w:b w:val="false"/>
          <w:color w:val="000000"/>
          <w:sz w:val="21"/>
        </w:rPr>
        <w:t>. I will inform the Company in writing before incorporating any inventions, discoveries, ideas, original works of authorship, developments, improvements, trade secrets and other proprietary information or intellectual property rights owned by me or in which I have an interest prior to, or separate from, my employment with the Company, including, without limitation, any such inventions that are subject to California Labor Code Section 2870 (attached hereto as Exhibit B) (“</w:t>
      </w:r>
      <w:r>
        <w:rPr>
          <w:rFonts w:ascii="Times New Roman;serif" w:hAnsi="Times New Roman;serif"/>
          <w:b/>
          <w:color w:val="000000"/>
          <w:sz w:val="21"/>
        </w:rPr>
        <w:t>Prior Inventions</w:t>
      </w:r>
      <w:r>
        <w:rPr>
          <w:color w:val="000000"/>
        </w:rPr>
        <w:t>”</w:t>
      </w:r>
      <w:r>
        <w:rPr>
          <w:rFonts w:ascii="Times New Roman;serif" w:hAnsi="Times New Roman;serif"/>
          <w:b w:val="false"/>
          <w:color w:val="000000"/>
          <w:sz w:val="21"/>
        </w:rPr>
        <w:t>) into any Invention or otherwise utilizing any such Prior Invention in the course of my employment with the Company; and the Company is hereby granted a nonexclusive, royalty-free, perpetual, irrevocable, transferable worldwide license (with the right to grant and authorize sublicenses) to make, have made, use, import, offer for sale, sell, reproduce, distribute, modify, adapt, prepare derivative works of, display, perform, and otherwise exploit such Prior Inventions, without restriction, including, without limitation, as part of or in connection with such Invention, and to practice any method related thereto. I will not incorporate any inventions, discoveries, ideas, original works of authorship, developments, improvements, trade secrets and other proprietary information or intellectual property rights owned by any third party into any Invention without Figure’s prior written permission. I have attached hereto as Exhibit A, a list describing all Prior Inventions. I agree to complete and provide Exhibit A to Figure’s Director of People on or before my first day of employment at Figure. If I fail to submit Exhibit A to Figure, I represent and warrant that there are no such Prior Inventions. Furthermore, I represent and warrant that if any Prior Inventions are included on Exhibit A, they will not materially affect my ability to perform all obligations under this Confidential Information Agreement.</w:t>
      </w:r>
    </w:p>
    <w:p>
      <w:pPr>
        <w:pStyle w:val="TextBody"/>
        <w:bidi w:val="0"/>
        <w:spacing w:before="30" w:after="283"/>
        <w:jc w:val="left"/>
        <w:rPr/>
      </w:pPr>
      <w:r>
        <w:rPr/>
      </w:r>
    </w:p>
    <w:p>
      <w:pPr>
        <w:pStyle w:val="TextBody"/>
        <w:bidi w:val="0"/>
        <w:spacing w:lineRule="auto" w:line="276" w:before="1" w:after="283"/>
        <w:ind w:left="0" w:right="0" w:firstLine="710"/>
        <w:jc w:val="both"/>
        <w:rPr/>
      </w:pPr>
      <w:r>
        <w:rPr>
          <w:rFonts w:ascii="Times New Roman;serif" w:hAnsi="Times New Roman;serif"/>
          <w:b w:val="false"/>
          <w:color w:val="000000"/>
          <w:sz w:val="21"/>
        </w:rPr>
        <w:t>C.</w:t>
      </w:r>
      <w:r>
        <w:rPr>
          <w:rFonts w:ascii="Times New Roman;serif" w:hAnsi="Times New Roman;serif"/>
          <w:b w:val="false"/>
          <w:i/>
          <w:color w:val="000000"/>
          <w:sz w:val="21"/>
        </w:rPr>
        <w:t>Moral Rights</w:t>
      </w:r>
      <w:r>
        <w:rPr>
          <w:rFonts w:ascii="Times New Roman;serif" w:hAnsi="Times New Roman;serif"/>
          <w:b w:val="false"/>
          <w:color w:val="000000"/>
          <w:sz w:val="21"/>
        </w:rPr>
        <w:t>. Any assignment to Figure of Inventions includes all rights of attribution, paternity, integrity, modification, disclosure and withdrawal, and any other rights throughout the world that may be known as or referred to as “moral rights,” “artist’s rights,” “droit moral,” or the like (collectively, “Moral Rights”). To the extent that Moral Rights cannot be assigned under applicable law, I hereby waive and agree not to enforce any and all Moral Rights, including, without limitation, any limitation on subsequent modification, to the extent permitted under applicable law.</w:t>
      </w:r>
    </w:p>
    <w:p>
      <w:pPr>
        <w:pStyle w:val="TextBody"/>
        <w:bidi w:val="0"/>
        <w:spacing w:before="25" w:after="283"/>
        <w:jc w:val="left"/>
        <w:rPr/>
      </w:pPr>
      <w:r>
        <w:rPr/>
      </w:r>
    </w:p>
    <w:p>
      <w:pPr>
        <w:pStyle w:val="TextBody"/>
        <w:bidi w:val="0"/>
        <w:spacing w:lineRule="auto" w:line="276" w:before="0" w:after="0"/>
        <w:ind w:left="0" w:right="0" w:firstLine="710"/>
        <w:jc w:val="both"/>
        <w:rPr/>
      </w:pPr>
      <w:r>
        <w:rPr>
          <w:rFonts w:ascii="Times New Roman;serif" w:hAnsi="Times New Roman;serif"/>
          <w:b w:val="false"/>
          <w:color w:val="000000"/>
          <w:sz w:val="21"/>
        </w:rPr>
        <w:t>D.</w:t>
      </w:r>
      <w:r>
        <w:rPr>
          <w:rFonts w:ascii="Times New Roman;serif" w:hAnsi="Times New Roman;serif"/>
          <w:b w:val="false"/>
          <w:i/>
          <w:color w:val="000000"/>
          <w:sz w:val="21"/>
        </w:rPr>
        <w:t>Maintenance of Records</w:t>
      </w:r>
      <w:r>
        <w:rPr>
          <w:rFonts w:ascii="Times New Roman;serif" w:hAnsi="Times New Roman;serif"/>
          <w:b w:val="false"/>
          <w:color w:val="000000"/>
          <w:sz w:val="21"/>
        </w:rPr>
        <w:t>. I agree to keep and maintain adequate, current, accurate, and authentic written records of all Inventions made by me (solely or jointly with others) during the term of my employment with the Company. The records will be in the form of notes, sketches, drawings, electronic files, reports, or any other format that may be specified by the Company. As between Company and myself, the records are and will be available to and remain the sole property of Figure at all times.</w:t>
      </w:r>
    </w:p>
    <w:p>
      <w:pPr>
        <w:pStyle w:val="TextBody"/>
        <w:bidi w:val="0"/>
        <w:spacing w:before="23" w:after="283"/>
        <w:jc w:val="left"/>
        <w:rPr/>
      </w:pPr>
      <w:r>
        <w:rPr/>
      </w:r>
    </w:p>
    <w:p>
      <w:pPr>
        <w:pStyle w:val="TextBody"/>
        <w:bidi w:val="0"/>
        <w:spacing w:lineRule="auto" w:line="276" w:before="0" w:after="0"/>
        <w:ind w:left="0" w:right="0" w:firstLine="710"/>
        <w:jc w:val="both"/>
        <w:rPr/>
      </w:pPr>
      <w:r>
        <w:rPr>
          <w:rFonts w:ascii="Times New Roman;serif" w:hAnsi="Times New Roman;serif"/>
          <w:b w:val="false"/>
          <w:color w:val="000000"/>
          <w:sz w:val="21"/>
        </w:rPr>
        <w:t>E.</w:t>
      </w:r>
      <w:r>
        <w:rPr>
          <w:rFonts w:ascii="Times New Roman;serif" w:hAnsi="Times New Roman;serif"/>
          <w:b w:val="false"/>
          <w:i/>
          <w:color w:val="000000"/>
          <w:sz w:val="21"/>
        </w:rPr>
        <w:t xml:space="preserve">Further Assurances. </w:t>
      </w:r>
      <w:r>
        <w:rPr>
          <w:rFonts w:ascii="Times New Roman;serif" w:hAnsi="Times New Roman;serif"/>
          <w:b w:val="false"/>
          <w:color w:val="000000"/>
          <w:sz w:val="21"/>
        </w:rPr>
        <w:t xml:space="preserve">I agree to assist the Company, or its designee, at the Company’s expense, in every proper way to secure the Company’s rights in the Inventions in any and all countries, including the disclosure to the Company of all pertinent information and data with respect thereto, the execution of all applications, specifications, oaths, assignments, and all other instruments that the Company shall deem proper or necessary in order to apply for, register, obtain, maintain, defend, and enforce such rights, and in order to deliver, assign and convey to the Company, its successors, assigns, and nominees the sole and exclusive rights, title, and interest in and to all Inventions, and testifying in a suit or other proceeding relating to such Inventions. I further agree that my obligations under this </w:t>
      </w:r>
      <w:r>
        <w:rPr>
          <w:rFonts w:ascii="Times New Roman;serif" w:hAnsi="Times New Roman;serif"/>
          <w:b/>
          <w:color w:val="000000"/>
          <w:sz w:val="21"/>
        </w:rPr>
        <w:t xml:space="preserve">Section 4.E </w:t>
      </w:r>
      <w:r>
        <w:rPr>
          <w:rFonts w:ascii="Times New Roman;serif" w:hAnsi="Times New Roman;serif"/>
          <w:b w:val="false"/>
          <w:color w:val="000000"/>
          <w:sz w:val="21"/>
        </w:rPr>
        <w:t>shall continue after the termination of this Confidential Information Agreement.</w:t>
      </w:r>
    </w:p>
    <w:p>
      <w:pPr>
        <w:pStyle w:val="TextBody"/>
        <w:bidi w:val="0"/>
        <w:spacing w:before="26" w:after="283"/>
        <w:jc w:val="left"/>
        <w:rPr/>
      </w:pPr>
      <w:r>
        <w:rPr/>
      </w:r>
    </w:p>
    <w:p>
      <w:pPr>
        <w:pStyle w:val="TextBody"/>
        <w:bidi w:val="0"/>
        <w:spacing w:lineRule="auto" w:line="276" w:before="0" w:after="0"/>
        <w:ind w:left="0" w:right="0" w:firstLine="710"/>
        <w:jc w:val="both"/>
        <w:rPr/>
      </w:pPr>
      <w:r>
        <w:rPr>
          <w:rFonts w:ascii="Times New Roman;serif" w:hAnsi="Times New Roman;serif"/>
          <w:b w:val="false"/>
          <w:color w:val="000000"/>
          <w:sz w:val="21"/>
        </w:rPr>
        <w:t>F.</w:t>
      </w:r>
      <w:r>
        <w:rPr>
          <w:rFonts w:ascii="Times New Roman;serif" w:hAnsi="Times New Roman;serif"/>
          <w:b w:val="false"/>
          <w:i/>
          <w:color w:val="000000"/>
          <w:sz w:val="21"/>
        </w:rPr>
        <w:t>Attorney-in-Fact</w:t>
      </w:r>
      <w:r>
        <w:rPr>
          <w:rFonts w:ascii="Times New Roman;serif" w:hAnsi="Times New Roman;serif"/>
          <w:b w:val="false"/>
          <w:color w:val="000000"/>
          <w:sz w:val="21"/>
        </w:rPr>
        <w:t xml:space="preserve">. I agree that, if the Company is unable because of my unavailability, mental or physical incapacity, or for any other reason to secure my signature with respect to any Inventions, including, without limitation, for the purpose of applying for or pursuing any application for any United States or foreign patents or mask work or copyright registrations covering the Inventions assigned to Figure in </w:t>
      </w:r>
      <w:r>
        <w:rPr>
          <w:rFonts w:ascii="Times New Roman;serif" w:hAnsi="Times New Roman;serif"/>
          <w:b/>
          <w:color w:val="000000"/>
          <w:sz w:val="21"/>
        </w:rPr>
        <w:t>Section 4.A</w:t>
      </w:r>
      <w:r>
        <w:rPr>
          <w:rFonts w:ascii="Times New Roman;serif" w:hAnsi="Times New Roman;serif"/>
          <w:b w:val="false"/>
          <w:color w:val="000000"/>
          <w:sz w:val="21"/>
        </w:rPr>
        <w:t>, then I hereby irrevocably designate and appoint the Company and its duly authorized officers and agents as my agent and attorney-in-fact, to act for and on my behalf to execute and file any papers and oaths, and to do all other lawfully permitted acts with respect to such Inventions to further the prosecution and issuance of patents, copyright and mask work registrations with the same legal force and effect as if executed by me. This power of attorney shall be deemed coupled with an interest, and shall be irrevocable.</w:t>
      </w:r>
    </w:p>
    <w:p>
      <w:pPr>
        <w:pStyle w:val="TextBody"/>
        <w:bidi w:val="0"/>
        <w:spacing w:before="27" w:after="283"/>
        <w:jc w:val="left"/>
        <w:rPr/>
      </w:pPr>
      <w:r>
        <w:rPr/>
      </w:r>
    </w:p>
    <w:p>
      <w:pPr>
        <w:pStyle w:val="TextBody"/>
        <w:bidi w:val="0"/>
        <w:spacing w:lineRule="auto" w:line="276"/>
        <w:ind w:left="0" w:right="0" w:firstLine="710"/>
        <w:jc w:val="both"/>
        <w:rPr/>
      </w:pPr>
      <w:r>
        <w:rPr>
          <w:rFonts w:ascii="Times New Roman;serif" w:hAnsi="Times New Roman;serif"/>
          <w:b w:val="false"/>
          <w:color w:val="000000"/>
          <w:sz w:val="21"/>
        </w:rPr>
        <w:t>G.</w:t>
      </w:r>
      <w:r>
        <w:rPr>
          <w:rFonts w:ascii="Times New Roman;serif" w:hAnsi="Times New Roman;serif"/>
          <w:b w:val="false"/>
          <w:i/>
          <w:color w:val="000000"/>
          <w:sz w:val="21"/>
        </w:rPr>
        <w:t>Exception to Assignments</w:t>
      </w:r>
      <w:r>
        <w:rPr>
          <w:rFonts w:ascii="Times New Roman;serif" w:hAnsi="Times New Roman;serif"/>
          <w:b w:val="false"/>
          <w:color w:val="000000"/>
          <w:sz w:val="21"/>
        </w:rPr>
        <w:t xml:space="preserve">. I UNDERSTAND THAT THE PROVISIONS OF THIS </w:t>
      </w:r>
      <w:r>
        <w:rPr>
          <w:rFonts w:ascii="Times New Roman;serif" w:hAnsi="Times New Roman;serif"/>
          <w:b w:val="false"/>
          <w:color w:val="000000"/>
          <w:sz w:val="22"/>
        </w:rPr>
        <w:t xml:space="preserve">CONFIDENTIAL INFORMATION </w:t>
      </w:r>
      <w:r>
        <w:rPr>
          <w:rFonts w:ascii="Times New Roman;serif" w:hAnsi="Times New Roman;serif"/>
          <w:b w:val="false"/>
          <w:color w:val="000000"/>
          <w:sz w:val="21"/>
        </w:rPr>
        <w:t xml:space="preserve">AGREEMENT REQUIRING ASSIGNMENT OF INVENTIONS (AS DEFINED UNDER SECTION 4.A ABOVE) TO FIGURE DO NOT APPLY TO ANY INVENTION THAT QUALIFIES FULLY UNDER THE PROVISIONS OF CALIFORNIA LABOR CODE SECTION 2870 (ATTACHED HERETO AS EXHIBIT B). I WILL ADVISE FIGURE PROMPTLY IN WRITING OF ANY </w:t>
      </w:r>
    </w:p>
    <w:p>
      <w:pPr>
        <w:pStyle w:val="TextBody"/>
        <w:bidi w:val="0"/>
        <w:spacing w:before="0" w:after="0"/>
        <w:jc w:val="left"/>
        <w:rPr/>
      </w:pPr>
      <w:r>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6480175" cy="175260"/>
                <wp:effectExtent l="0" t="0" r="0" b="0"/>
                <wp:wrapNone/>
                <wp:docPr id="212" name="Frame2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both"/>
        <w:rPr>
          <w:rFonts w:ascii="Times New Roman;serif" w:hAnsi="Times New Roman;serif"/>
          <w:b w:val="false"/>
          <w:color w:val="000000"/>
          <w:sz w:val="21"/>
        </w:rPr>
      </w:pPr>
      <w:r>
        <w:rPr>
          <w:rFonts w:ascii="Times New Roman;serif" w:hAnsi="Times New Roman;serif"/>
          <w:b w:val="false"/>
          <w:color w:val="000000"/>
          <w:sz w:val="21"/>
        </w:rPr>
        <w:t>INVENTIONS THAT I BELIEVE MEET THE CRITERIA IN CALIFORNIA LABOR CODE SECTION 2870 AND ARE NOT OTHERWISE DISCLOSED ON EXHIBIT A TO PERMIT A DETERMINATION OF OWNERSHIP BY THE COMPANY. ANY SUCH DISCLOSURE WILL BE RECEIVED IN CONFIDENCE.</w:t>
      </w:r>
    </w:p>
    <w:p>
      <w:pPr>
        <w:pStyle w:val="TextBody"/>
        <w:bidi w:val="0"/>
        <w:spacing w:before="17" w:after="283"/>
        <w:jc w:val="left"/>
        <w:rPr/>
      </w:pPr>
      <w:r>
        <w:rPr/>
      </w:r>
    </w:p>
    <w:p>
      <w:pPr>
        <w:pStyle w:val="TextBody"/>
        <w:bidi w:val="0"/>
        <w:spacing w:lineRule="auto" w:line="288" w:before="0" w:after="0"/>
        <w:ind w:left="0" w:right="0" w:hanging="713"/>
        <w:jc w:val="left"/>
        <w:rPr/>
      </w:pPr>
      <w:r>
        <w:rPr>
          <w:rFonts w:ascii="Times New Roman;serif" w:hAnsi="Times New Roman;serif"/>
          <w:b w:val="false"/>
          <w:color w:val="000000"/>
          <w:sz w:val="21"/>
        </w:rPr>
        <w:t>5.</w:t>
      </w:r>
      <w:r>
        <w:rPr>
          <w:rFonts w:ascii="Times New Roman;serif" w:hAnsi="Times New Roman;serif"/>
          <w:b/>
          <w:color w:val="000000"/>
          <w:sz w:val="21"/>
          <w:u w:val="single"/>
        </w:rPr>
        <w:t>CONFLICTING OBLIGATIONS</w:t>
      </w:r>
    </w:p>
    <w:p>
      <w:pPr>
        <w:pStyle w:val="TextBody"/>
        <w:bidi w:val="0"/>
        <w:spacing w:before="204" w:after="283"/>
        <w:jc w:val="left"/>
        <w:rPr/>
      </w:pPr>
      <w:r>
        <w:rPr/>
      </w:r>
    </w:p>
    <w:p>
      <w:pPr>
        <w:pStyle w:val="TextBody"/>
        <w:bidi w:val="0"/>
        <w:spacing w:lineRule="auto" w:line="276" w:before="0" w:after="0"/>
        <w:ind w:left="0" w:right="0" w:firstLine="710"/>
        <w:jc w:val="both"/>
        <w:rPr/>
      </w:pPr>
      <w:r>
        <w:rPr>
          <w:rFonts w:ascii="Times New Roman;serif" w:hAnsi="Times New Roman;serif"/>
          <w:b w:val="false"/>
          <w:color w:val="000000"/>
          <w:sz w:val="21"/>
        </w:rPr>
        <w:t>A.</w:t>
      </w:r>
      <w:r>
        <w:rPr>
          <w:rFonts w:ascii="Times New Roman;serif" w:hAnsi="Times New Roman;serif"/>
          <w:b w:val="false"/>
          <w:i/>
          <w:color w:val="000000"/>
          <w:sz w:val="21"/>
        </w:rPr>
        <w:t>Current Obligations</w:t>
      </w:r>
      <w:r>
        <w:rPr>
          <w:rFonts w:ascii="Times New Roman;serif" w:hAnsi="Times New Roman;serif"/>
          <w:b w:val="false"/>
          <w:color w:val="000000"/>
          <w:sz w:val="21"/>
        </w:rPr>
        <w:t>. Other than as set forth in Exhibit D, I agree that during the term of my employment with the Company, I will not engage in or undertake any other employment, occupation, consulting relationship, or commitment that is directly related to the business in which the Company is now involved or becomes involved or has plans to become involved, nor will I engage in any other activities that conflict with my obligations to the Company.</w:t>
      </w:r>
    </w:p>
    <w:p>
      <w:pPr>
        <w:pStyle w:val="TextBody"/>
        <w:bidi w:val="0"/>
        <w:spacing w:before="22" w:after="283"/>
        <w:jc w:val="left"/>
        <w:rPr/>
      </w:pPr>
      <w:r>
        <w:rPr/>
      </w:r>
    </w:p>
    <w:p>
      <w:pPr>
        <w:pStyle w:val="TextBody"/>
        <w:bidi w:val="0"/>
        <w:spacing w:lineRule="auto" w:line="276" w:before="0" w:after="0"/>
        <w:ind w:left="0" w:right="0" w:firstLine="710"/>
        <w:jc w:val="both"/>
        <w:rPr/>
      </w:pPr>
      <w:r>
        <w:rPr>
          <w:rFonts w:ascii="Times New Roman;serif" w:hAnsi="Times New Roman;serif"/>
          <w:b w:val="false"/>
          <w:color w:val="000000"/>
          <w:sz w:val="21"/>
        </w:rPr>
        <w:t>B.</w:t>
      </w:r>
      <w:r>
        <w:rPr>
          <w:rFonts w:ascii="Times New Roman;serif" w:hAnsi="Times New Roman;serif"/>
          <w:b w:val="false"/>
          <w:i/>
          <w:color w:val="000000"/>
          <w:sz w:val="21"/>
        </w:rPr>
        <w:t>Prior Relationships</w:t>
      </w:r>
      <w:r>
        <w:rPr>
          <w:rFonts w:ascii="Times New Roman;serif" w:hAnsi="Times New Roman;serif"/>
          <w:b w:val="false"/>
          <w:color w:val="000000"/>
          <w:sz w:val="21"/>
        </w:rPr>
        <w:t xml:space="preserve">. Without limiting </w:t>
      </w:r>
      <w:r>
        <w:rPr>
          <w:rFonts w:ascii="Times New Roman;serif" w:hAnsi="Times New Roman;serif"/>
          <w:b/>
          <w:color w:val="000000"/>
          <w:sz w:val="21"/>
        </w:rPr>
        <w:t>Section 5.A</w:t>
      </w:r>
      <w:r>
        <w:rPr>
          <w:rFonts w:ascii="Times New Roman;serif" w:hAnsi="Times New Roman;serif"/>
          <w:b w:val="false"/>
          <w:color w:val="000000"/>
          <w:sz w:val="21"/>
        </w:rPr>
        <w:t>, I represent and warrant that I have no other agreements, relationships, or commitments to any other person or entity that conflict with the provisions of this Confidential Information Agreement, my obligations to the Company under this Confidential Information Agreement, or my ability to become employed and perform the services for which I am being hired by the Company. I further agree that if I have signed a confidentiality agreement or similar type of agreement with any former employer or other entity, I will comply with the terms of any such agreement to the extent that its terms are lawful under applicable law. I represent and warrant that after undertaking a careful search (including searches of my computers, cell phones, electronic devices, and documents), I have returned all property and confidential information belonging to all prior employers (and/or other third parties I have performed services for in accordance with the terms of my applicable agreement) before my first day of employment with Figure. Moreover, I agree to fully indemnify the Company, its directors, officers, agents, employees, investors, stockholders, administrators, affiliates, divisions, subsidiaries, predecessor and successor corporations, and assigns for all verdicts, judgments, settlements, and other losses incurred by any of them resulting from my breach of my obligations under any agreement with a third party to which I am a party or obligation to which I am bound, as well as any reasonable attorneys’ fees and costs if the plaintiff is the prevailing party in such an action, except as prohibited by law.</w:t>
      </w:r>
    </w:p>
    <w:p>
      <w:pPr>
        <w:pStyle w:val="TextBody"/>
        <w:bidi w:val="0"/>
        <w:spacing w:before="29" w:after="283"/>
        <w:jc w:val="left"/>
        <w:rPr/>
      </w:pPr>
      <w:r>
        <w:rPr/>
      </w:r>
    </w:p>
    <w:p>
      <w:pPr>
        <w:pStyle w:val="TextBody"/>
        <w:bidi w:val="0"/>
        <w:spacing w:lineRule="auto" w:line="288" w:before="0" w:after="0"/>
        <w:ind w:left="0" w:right="0" w:hanging="727"/>
        <w:jc w:val="left"/>
        <w:rPr/>
      </w:pPr>
      <w:r>
        <w:rPr>
          <w:rFonts w:ascii="Times New Roman;serif" w:hAnsi="Times New Roman;serif"/>
          <w:b w:val="false"/>
          <w:color w:val="000000"/>
          <w:sz w:val="21"/>
        </w:rPr>
        <w:t>6.</w:t>
      </w:r>
      <w:r>
        <w:rPr>
          <w:rFonts w:ascii="Times New Roman;serif" w:hAnsi="Times New Roman;serif"/>
          <w:b/>
          <w:color w:val="000000"/>
          <w:sz w:val="21"/>
          <w:u w:val="single"/>
        </w:rPr>
        <w:t>RETURN OF COMPANY MATERIALS</w:t>
      </w:r>
    </w:p>
    <w:p>
      <w:pPr>
        <w:pStyle w:val="TextBody"/>
        <w:bidi w:val="0"/>
        <w:spacing w:before="192" w:after="283"/>
        <w:jc w:val="left"/>
        <w:rPr/>
      </w:pPr>
      <w:r>
        <w:rPr/>
      </w:r>
    </w:p>
    <w:p>
      <w:pPr>
        <w:pStyle w:val="TextBody"/>
        <w:bidi w:val="0"/>
        <w:spacing w:lineRule="auto" w:line="288" w:before="0" w:after="0"/>
        <w:ind w:left="0" w:right="0" w:firstLine="710"/>
        <w:jc w:val="both"/>
        <w:rPr/>
      </w:pPr>
      <w:r>
        <w:rPr>
          <w:rFonts w:ascii="Times New Roman;serif" w:hAnsi="Times New Roman;serif"/>
          <w:b w:val="false"/>
          <w:color w:val="000000"/>
          <w:sz w:val="21"/>
        </w:rPr>
        <w:t>A.Definition of Electronic Media Equipment and Electronic Media Systems. I understand that “</w:t>
      </w:r>
      <w:r>
        <w:rPr>
          <w:rFonts w:ascii="Times New Roman;serif" w:hAnsi="Times New Roman;serif"/>
          <w:b/>
          <w:color w:val="000000"/>
          <w:sz w:val="21"/>
        </w:rPr>
        <w:t>Electronic Media Equipment</w:t>
      </w:r>
      <w:r>
        <w:rPr>
          <w:color w:val="000000"/>
        </w:rPr>
        <w:t xml:space="preserve">” </w:t>
      </w:r>
      <w:r>
        <w:rPr>
          <w:rFonts w:ascii="Times New Roman;serif" w:hAnsi="Times New Roman;serif"/>
          <w:b w:val="false"/>
          <w:color w:val="000000"/>
          <w:sz w:val="21"/>
        </w:rPr>
        <w:t>includes, but is not limited to, computers, external storage devices, thumb drives, handheld electronic devices, telephone equipment, and other electronic media devices. I understand that “</w:t>
      </w:r>
      <w:r>
        <w:rPr>
          <w:rFonts w:ascii="Times New Roman;serif" w:hAnsi="Times New Roman;serif"/>
          <w:b/>
          <w:color w:val="000000"/>
          <w:sz w:val="21"/>
        </w:rPr>
        <w:t>Electronic Media Systems</w:t>
      </w:r>
      <w:r>
        <w:rPr>
          <w:color w:val="000000"/>
        </w:rPr>
        <w:t xml:space="preserve">” </w:t>
      </w:r>
      <w:r>
        <w:rPr>
          <w:rFonts w:ascii="Times New Roman;serif" w:hAnsi="Times New Roman;serif"/>
          <w:b w:val="false"/>
          <w:color w:val="000000"/>
          <w:sz w:val="21"/>
        </w:rPr>
        <w:t>includes, but is not limited to, computer servers, messaging and email systems or accounts, and web-based services (including cloud-based information storage accounts), whether provided for my use directly by the Company or by third-party providers on behalf of the Company.</w:t>
      </w:r>
    </w:p>
    <w:p>
      <w:pPr>
        <w:pStyle w:val="TextBody"/>
        <w:bidi w:val="0"/>
        <w:spacing w:before="13" w:after="283"/>
        <w:jc w:val="left"/>
        <w:rPr/>
      </w:pPr>
      <w:r>
        <w:rPr/>
      </w:r>
    </w:p>
    <w:p>
      <w:pPr>
        <w:pStyle w:val="TextBody"/>
        <w:bidi w:val="0"/>
        <w:spacing w:lineRule="auto" w:line="276" w:before="0" w:after="0"/>
        <w:ind w:left="0" w:right="0" w:firstLine="710"/>
        <w:jc w:val="both"/>
        <w:rPr/>
      </w:pPr>
      <w:r>
        <w:rPr>
          <w:rFonts w:ascii="Times New Roman;serif" w:hAnsi="Times New Roman;serif"/>
          <w:b w:val="false"/>
          <w:color w:val="000000"/>
          <w:sz w:val="21"/>
        </w:rPr>
        <w:t>B.</w:t>
      </w:r>
      <w:r>
        <w:rPr>
          <w:rFonts w:ascii="Times New Roman;serif" w:hAnsi="Times New Roman;serif"/>
          <w:b w:val="false"/>
          <w:i/>
          <w:color w:val="000000"/>
          <w:sz w:val="21"/>
        </w:rPr>
        <w:t>Return of Company Property</w:t>
      </w:r>
      <w:r>
        <w:rPr>
          <w:rFonts w:ascii="Times New Roman;serif" w:hAnsi="Times New Roman;serif"/>
          <w:b w:val="false"/>
          <w:color w:val="000000"/>
          <w:sz w:val="21"/>
        </w:rPr>
        <w:t xml:space="preserve">. I understand that anything that I created or worked on for the Company while working for the Company belongs solely to the Company and that I cannot remove, retain, or use such information without the Company’s express written permission. Accordingly, upon separation from employment with the Company or upon the Company’s request at any other time, I will immediately deliver to Figure and will not keep in my possession, recreate, or deliver to anyone else, any and all Company property, including, but not limited to, Company Confidential Information, Associated Third Party Confidential Information, all Company equipment including all Company Electronic Media Equipment, all tangible embodiments of the Inventions, all electronically stored information and passwords to access such property, Company credit cards, records, data, notes, notebooks, reports, files, proposals, lists, correspondence, specifications, drawings, blueprints, sketches, materials, photographs, charts, any other documents and property, and reproductions of any of the foregoing items, including, without limitation, those records maintained pursuant to </w:t>
      </w:r>
      <w:r>
        <w:rPr>
          <w:rFonts w:ascii="Times New Roman;serif" w:hAnsi="Times New Roman;serif"/>
          <w:b/>
          <w:color w:val="000000"/>
          <w:sz w:val="21"/>
        </w:rPr>
        <w:t>Section 4.D</w:t>
      </w:r>
      <w:r>
        <w:rPr>
          <w:rFonts w:ascii="Times New Roman;serif" w:hAnsi="Times New Roman;serif"/>
          <w:b w:val="false"/>
          <w:color w:val="000000"/>
          <w:sz w:val="21"/>
        </w:rPr>
        <w:t>.</w:t>
      </w:r>
    </w:p>
    <w:p>
      <w:pPr>
        <w:pStyle w:val="TextBody"/>
        <w:bidi w:val="0"/>
        <w:spacing w:before="24" w:after="283"/>
        <w:jc w:val="left"/>
        <w:rPr/>
      </w:pPr>
      <w:r>
        <w:rPr/>
      </w:r>
    </w:p>
    <w:p>
      <w:pPr>
        <w:pStyle w:val="TextBody"/>
        <w:bidi w:val="0"/>
        <w:spacing w:lineRule="auto" w:line="288" w:before="0" w:after="0"/>
        <w:ind w:left="0" w:right="0" w:firstLine="710"/>
        <w:jc w:val="both"/>
        <w:rPr/>
      </w:pPr>
      <w:r>
        <w:rPr>
          <w:rFonts w:ascii="Times New Roman;serif" w:hAnsi="Times New Roman;serif"/>
          <w:b w:val="false"/>
          <w:color w:val="000000"/>
          <w:sz w:val="21"/>
        </w:rPr>
        <w:t>C.</w:t>
      </w:r>
      <w:r>
        <w:rPr>
          <w:rFonts w:ascii="Times New Roman;serif" w:hAnsi="Times New Roman;serif"/>
          <w:b w:val="false"/>
          <w:i/>
          <w:color w:val="000000"/>
          <w:sz w:val="21"/>
        </w:rPr>
        <w:t>Return of Company Information on Company Electronic Media Equipment</w:t>
      </w:r>
      <w:r>
        <w:rPr>
          <w:rFonts w:ascii="Times New Roman;serif" w:hAnsi="Times New Roman;serif"/>
          <w:b w:val="false"/>
          <w:color w:val="000000"/>
          <w:sz w:val="21"/>
        </w:rPr>
        <w:t>. In connection with my obligation to return information to the Company, I agree that I will not copy, delete, or alter any information, including personal information voluntarily created or stored, contained upon my Company Electronic Media Equipment before I return the information to the Company.</w:t>
      </w:r>
    </w:p>
    <w:p>
      <w:pPr>
        <w:pStyle w:val="TextBody"/>
        <w:bidi w:val="0"/>
        <w:spacing w:before="14" w:after="283"/>
        <w:jc w:val="left"/>
        <w:rPr/>
      </w:pPr>
      <w:r>
        <w:rPr/>
      </w:r>
    </w:p>
    <w:p>
      <w:pPr>
        <w:pStyle w:val="TextBody"/>
        <w:bidi w:val="0"/>
        <w:spacing w:lineRule="auto" w:line="288"/>
        <w:ind w:left="0" w:right="0" w:firstLine="710"/>
        <w:jc w:val="both"/>
        <w:rPr/>
      </w:pPr>
      <w:r>
        <w:rPr>
          <w:rFonts w:ascii="Times New Roman;serif" w:hAnsi="Times New Roman;serif"/>
          <w:b w:val="false"/>
          <w:color w:val="000000"/>
          <w:sz w:val="21"/>
        </w:rPr>
        <w:t>D.</w:t>
      </w:r>
      <w:r>
        <w:rPr>
          <w:rFonts w:ascii="Times New Roman;serif" w:hAnsi="Times New Roman;serif"/>
          <w:b w:val="false"/>
          <w:i/>
          <w:color w:val="000000"/>
          <w:sz w:val="21"/>
        </w:rPr>
        <w:t>Return of Company Information on Personal Electronic Media Equipment</w:t>
      </w:r>
      <w:r>
        <w:rPr>
          <w:rFonts w:ascii="Times New Roman;serif" w:hAnsi="Times New Roman;serif"/>
          <w:b w:val="false"/>
          <w:color w:val="000000"/>
          <w:sz w:val="21"/>
        </w:rPr>
        <w:t xml:space="preserve">. In addition, if I have used any personal Electronic Media Equipment or personal Electronic Media Systems to create, receive, store, review, prepare or transmit any Company information, including but not limited to, Company </w:t>
      </w:r>
    </w:p>
    <w:p>
      <w:pPr>
        <w:pStyle w:val="TextBody"/>
        <w:bidi w:val="0"/>
        <w:spacing w:before="0" w:after="0"/>
        <w:jc w:val="left"/>
        <w:rPr/>
      </w:pPr>
      <w:r>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6480175" cy="175260"/>
                <wp:effectExtent l="0" t="0" r="0" b="0"/>
                <wp:wrapNone/>
                <wp:docPr id="213" name="Frame2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1"/>
        </w:rPr>
      </w:pPr>
      <w:r>
        <w:rPr>
          <w:rFonts w:ascii="Times New Roman;serif" w:hAnsi="Times New Roman;serif"/>
          <w:b w:val="false"/>
          <w:color w:val="000000"/>
          <w:sz w:val="21"/>
        </w:rPr>
        <w:t>Confidential Information, I agree to make a prompt and reasonable search for such information in good faith, including reviewing any personal Electronic Media Equipment or personal Electronic Media Systems to locate such information and if I locate such information I agree to notify the Company of that fact and then provide the Company with a computer-useable copy of all such Company information from those equipment and systems; and I agree to cooperate reasonably with the Company to verify that the necessary copying is completed (including upon request providing a sworn declaration confirming the return of property and deletion of information), and, upon confirmation of compliance by the Company, I agree to delete and expunge all Company information.</w:t>
      </w:r>
    </w:p>
    <w:p>
      <w:pPr>
        <w:pStyle w:val="TextBody"/>
        <w:bidi w:val="0"/>
        <w:spacing w:before="25" w:after="283"/>
        <w:jc w:val="left"/>
        <w:rPr/>
      </w:pPr>
      <w:r>
        <w:rPr/>
      </w:r>
    </w:p>
    <w:p>
      <w:pPr>
        <w:pStyle w:val="TextBody"/>
        <w:bidi w:val="0"/>
        <w:spacing w:lineRule="auto" w:line="276" w:before="0" w:after="0"/>
        <w:ind w:left="0" w:right="0" w:firstLine="710"/>
        <w:jc w:val="both"/>
        <w:rPr/>
      </w:pPr>
      <w:r>
        <w:rPr>
          <w:rFonts w:ascii="Times New Roman;serif" w:hAnsi="Times New Roman;serif"/>
          <w:b w:val="false"/>
          <w:color w:val="000000"/>
          <w:sz w:val="21"/>
        </w:rPr>
        <w:t>E.</w:t>
      </w:r>
      <w:r>
        <w:rPr>
          <w:rFonts w:ascii="Times New Roman;serif" w:hAnsi="Times New Roman;serif"/>
          <w:b w:val="false"/>
          <w:i/>
          <w:color w:val="000000"/>
          <w:sz w:val="21"/>
        </w:rPr>
        <w:t>No Expectation of Privacy in Company Property</w:t>
      </w:r>
      <w:r>
        <w:rPr>
          <w:rFonts w:ascii="Times New Roman;serif" w:hAnsi="Times New Roman;serif"/>
          <w:b w:val="false"/>
          <w:color w:val="000000"/>
          <w:sz w:val="21"/>
        </w:rPr>
        <w:t>. I understand that I have no expectation of privacy in Company property, and I agree that any Company property situated on Company premises, or held by third-party providers for the benefit of the Company, is subject to inspection by Company personnel at any time with or without further notice. I also understand and agree that as it relates to the Company’s desire to protect its confidential and proprietary information, I have no expectation of privacy as to any personal Electronic Media Equipment or personal Electronic Media Systems that I have used for Company purposes. I further agree that the Company, at its sole discretion, may have access to such personal Electronic Media Equipment or personal Electronic Media Systems to retrieve, destroy, or ensure the permanent deletion of Company information from such equipment or systems. I also consent to an exit interview and an audit to confirm my compliance with this Section 6, and I will certify in writing that I have complied with the requirements of this Section 6.</w:t>
      </w:r>
    </w:p>
    <w:p>
      <w:pPr>
        <w:pStyle w:val="TextBody"/>
        <w:bidi w:val="0"/>
        <w:spacing w:before="25" w:after="283"/>
        <w:jc w:val="left"/>
        <w:rPr/>
      </w:pPr>
      <w:r>
        <w:rPr/>
      </w:r>
    </w:p>
    <w:p>
      <w:pPr>
        <w:pStyle w:val="TextBody"/>
        <w:bidi w:val="0"/>
        <w:spacing w:lineRule="auto" w:line="288" w:before="0" w:after="0"/>
        <w:ind w:left="0" w:right="0" w:hanging="720"/>
        <w:jc w:val="left"/>
        <w:rPr/>
      </w:pPr>
      <w:r>
        <w:rPr>
          <w:rFonts w:ascii="Times New Roman;serif" w:hAnsi="Times New Roman;serif"/>
          <w:b w:val="false"/>
          <w:color w:val="000000"/>
          <w:sz w:val="21"/>
        </w:rPr>
        <w:t>7.</w:t>
      </w:r>
      <w:r>
        <w:rPr>
          <w:rFonts w:ascii="Times New Roman;serif" w:hAnsi="Times New Roman;serif"/>
          <w:b/>
          <w:color w:val="000000"/>
          <w:sz w:val="21"/>
          <w:u w:val="single"/>
        </w:rPr>
        <w:t>NOTIFICATION OF NEW EMPLOYER</w:t>
      </w:r>
    </w:p>
    <w:p>
      <w:pPr>
        <w:pStyle w:val="TextBody"/>
        <w:bidi w:val="0"/>
        <w:spacing w:lineRule="auto" w:line="288" w:before="16" w:after="283"/>
        <w:jc w:val="both"/>
        <w:rPr>
          <w:rFonts w:ascii="Times New Roman;serif" w:hAnsi="Times New Roman;serif"/>
          <w:b w:val="false"/>
          <w:color w:val="000000"/>
          <w:sz w:val="21"/>
        </w:rPr>
      </w:pPr>
      <w:r>
        <w:rPr>
          <w:rFonts w:ascii="Times New Roman;serif" w:hAnsi="Times New Roman;serif"/>
          <w:b w:val="false"/>
          <w:color w:val="000000"/>
          <w:sz w:val="21"/>
        </w:rPr>
        <w:t>In the event that I leave the employ of the Company, I hereby grant consent to notification by the Company to my new employer about my obligations under this this Confidential Information Agreement.</w:t>
      </w:r>
    </w:p>
    <w:p>
      <w:pPr>
        <w:pStyle w:val="TextBody"/>
        <w:bidi w:val="0"/>
        <w:spacing w:before="22" w:after="283"/>
        <w:jc w:val="left"/>
        <w:rPr/>
      </w:pPr>
      <w:r>
        <w:rPr/>
      </w:r>
    </w:p>
    <w:p>
      <w:pPr>
        <w:pStyle w:val="TextBody"/>
        <w:bidi w:val="0"/>
        <w:spacing w:lineRule="auto" w:line="288" w:before="0" w:after="0"/>
        <w:ind w:left="0" w:right="0" w:firstLine="775"/>
        <w:jc w:val="left"/>
        <w:rPr/>
      </w:pPr>
      <w:r>
        <w:rPr>
          <w:rFonts w:ascii="Times New Roman;serif" w:hAnsi="Times New Roman;serif"/>
          <w:b w:val="false"/>
          <w:color w:val="000000"/>
          <w:sz w:val="21"/>
        </w:rPr>
        <w:t>8.</w:t>
      </w:r>
      <w:r>
        <w:rPr>
          <w:rFonts w:ascii="Times New Roman;serif" w:hAnsi="Times New Roman;serif"/>
          <w:b/>
          <w:color w:val="000000"/>
          <w:sz w:val="21"/>
          <w:u w:val="single"/>
        </w:rPr>
        <w:t>NON-SOLICITATION OF EMPLOYEES USING COMPANY CONFIDENTIAL</w:t>
      </w:r>
      <w:r>
        <w:rPr>
          <w:color w:val="000000"/>
        </w:rPr>
        <w:t xml:space="preserve"> </w:t>
      </w:r>
      <w:r>
        <w:rPr>
          <w:rFonts w:ascii="Times New Roman;serif" w:hAnsi="Times New Roman;serif"/>
          <w:b/>
          <w:color w:val="000000"/>
          <w:sz w:val="21"/>
          <w:u w:val="single"/>
        </w:rPr>
        <w:t>INFORMATION.</w:t>
      </w:r>
    </w:p>
    <w:p>
      <w:pPr>
        <w:pStyle w:val="TextBody"/>
        <w:bidi w:val="0"/>
        <w:spacing w:lineRule="auto" w:line="276" w:before="3" w:after="283"/>
        <w:jc w:val="both"/>
        <w:rPr>
          <w:rFonts w:ascii="Times New Roman;serif" w:hAnsi="Times New Roman;serif"/>
          <w:b w:val="false"/>
          <w:color w:val="000000"/>
          <w:sz w:val="21"/>
        </w:rPr>
      </w:pPr>
      <w:r>
        <w:rPr>
          <w:rFonts w:ascii="Times New Roman;serif" w:hAnsi="Times New Roman;serif"/>
          <w:b w:val="false"/>
          <w:color w:val="000000"/>
          <w:sz w:val="21"/>
        </w:rPr>
        <w:t>To the fullest extent permitted under applicable law, I agree that during my employment and for a period of twelve (12) months immediately following the termination of my relationship with the Company for any reason, whether voluntary or involuntary, with or without cause, I will not use any Company Confidential Information in order to directly or indirectly solicit any of the Company’s employees to leave their employment at the Company. I agree that nothing in this Section 8 shall affect my continuing obligations under this this Confidential Information Agreement during and after this twelve (12) month period, including, without limitation, my obligations under Section 3.</w:t>
      </w:r>
    </w:p>
    <w:p>
      <w:pPr>
        <w:pStyle w:val="TextBody"/>
        <w:bidi w:val="0"/>
        <w:spacing w:before="25" w:after="283"/>
        <w:jc w:val="left"/>
        <w:rPr/>
      </w:pPr>
      <w:r>
        <w:rPr/>
      </w:r>
    </w:p>
    <w:p>
      <w:pPr>
        <w:pStyle w:val="TextBody"/>
        <w:bidi w:val="0"/>
        <w:spacing w:lineRule="auto" w:line="288" w:before="1" w:after="283"/>
        <w:ind w:left="0" w:right="0" w:hanging="720"/>
        <w:jc w:val="left"/>
        <w:rPr/>
      </w:pPr>
      <w:r>
        <w:rPr>
          <w:rFonts w:ascii="Times New Roman;serif" w:hAnsi="Times New Roman;serif"/>
          <w:b w:val="false"/>
          <w:color w:val="000000"/>
          <w:sz w:val="21"/>
        </w:rPr>
        <w:t>9.</w:t>
      </w:r>
      <w:r>
        <w:rPr>
          <w:rFonts w:ascii="Times New Roman;serif" w:hAnsi="Times New Roman;serif"/>
          <w:b/>
          <w:color w:val="000000"/>
          <w:sz w:val="21"/>
          <w:u w:val="single"/>
        </w:rPr>
        <w:t>CONFLICT OF INTEREST GUIDELINES</w:t>
      </w:r>
    </w:p>
    <w:p>
      <w:pPr>
        <w:pStyle w:val="TextBody"/>
        <w:bidi w:val="0"/>
        <w:spacing w:lineRule="auto" w:line="288" w:before="15" w:after="283"/>
        <w:jc w:val="both"/>
        <w:rPr>
          <w:rFonts w:ascii="Times New Roman;serif" w:hAnsi="Times New Roman;serif"/>
          <w:b w:val="false"/>
          <w:color w:val="000000"/>
          <w:sz w:val="21"/>
        </w:rPr>
      </w:pPr>
      <w:r>
        <w:rPr>
          <w:rFonts w:ascii="Times New Roman;serif" w:hAnsi="Times New Roman;serif"/>
          <w:b w:val="false"/>
          <w:color w:val="000000"/>
          <w:sz w:val="21"/>
        </w:rPr>
        <w:t>I agree to diligently adhere to all policies of the Company, including the Company’s insider trading policies and the Company’s Conflict of Interest Guidelines. A copy of the Company’s current Conflict of Interest Guidelines is attached as Exhibit C hereto, but I understand that these Conflict of Interest Guidelines may be revised from time to time during my employment.</w:t>
      </w:r>
    </w:p>
    <w:p>
      <w:pPr>
        <w:pStyle w:val="TextBody"/>
        <w:bidi w:val="0"/>
        <w:spacing w:before="14" w:after="283"/>
        <w:jc w:val="left"/>
        <w:rPr/>
      </w:pPr>
      <w:r>
        <w:rPr/>
      </w:r>
    </w:p>
    <w:p>
      <w:pPr>
        <w:pStyle w:val="TextBody"/>
        <w:bidi w:val="0"/>
        <w:spacing w:lineRule="auto" w:line="288" w:before="0" w:after="0"/>
        <w:ind w:left="0" w:right="0" w:hanging="720"/>
        <w:jc w:val="left"/>
        <w:rPr/>
      </w:pPr>
      <w:r>
        <w:rPr>
          <w:rFonts w:ascii="Times New Roman;serif" w:hAnsi="Times New Roman;serif"/>
          <w:b w:val="false"/>
          <w:color w:val="000000"/>
          <w:sz w:val="21"/>
        </w:rPr>
        <w:t>10.</w:t>
      </w:r>
      <w:r>
        <w:rPr>
          <w:rFonts w:ascii="Times New Roman;serif" w:hAnsi="Times New Roman;serif"/>
          <w:b/>
          <w:color w:val="000000"/>
          <w:sz w:val="21"/>
          <w:u w:val="single"/>
        </w:rPr>
        <w:t>REPRESENTATIONS</w:t>
      </w:r>
    </w:p>
    <w:p>
      <w:pPr>
        <w:pStyle w:val="TextBody"/>
        <w:bidi w:val="0"/>
        <w:spacing w:lineRule="auto" w:line="276" w:before="17" w:after="283"/>
        <w:jc w:val="both"/>
        <w:rPr>
          <w:rFonts w:ascii="Times New Roman;serif" w:hAnsi="Times New Roman;serif"/>
          <w:b w:val="false"/>
          <w:color w:val="000000"/>
          <w:sz w:val="21"/>
        </w:rPr>
      </w:pPr>
      <w:r>
        <w:rPr>
          <w:rFonts w:ascii="Times New Roman;serif" w:hAnsi="Times New Roman;serif"/>
          <w:b w:val="false"/>
          <w:color w:val="000000"/>
          <w:sz w:val="21"/>
        </w:rPr>
        <w:t>Without limiting my obligations under Section 4.E above, I agree to execute any proper oath or verify any proper document required to carry out the terms of this Confidential Information Agreement. I represent and warrant that my performance of all the terms of this Confidential Information Agreement will not breach any agreement to keep in confidence information acquired by me in confidence or in trust prior to my employment by the Company. I hereby represent and warrant that I have not entered into, and I will not enter into, any oral or written agreement in conflict herewith.</w:t>
      </w:r>
    </w:p>
    <w:p>
      <w:pPr>
        <w:pStyle w:val="TextBody"/>
        <w:bidi w:val="0"/>
        <w:spacing w:before="25" w:after="283"/>
        <w:jc w:val="left"/>
        <w:rPr/>
      </w:pPr>
      <w:r>
        <w:rPr/>
      </w:r>
    </w:p>
    <w:p>
      <w:pPr>
        <w:pStyle w:val="TextBody"/>
        <w:bidi w:val="0"/>
        <w:spacing w:lineRule="auto" w:line="288" w:before="0" w:after="0"/>
        <w:ind w:left="0" w:right="0" w:hanging="720"/>
        <w:jc w:val="left"/>
        <w:rPr/>
      </w:pPr>
      <w:r>
        <w:rPr>
          <w:rFonts w:ascii="Times New Roman;serif" w:hAnsi="Times New Roman;serif"/>
          <w:b w:val="false"/>
          <w:color w:val="000000"/>
          <w:sz w:val="21"/>
        </w:rPr>
        <w:t>11.</w:t>
      </w:r>
      <w:r>
        <w:rPr>
          <w:rFonts w:ascii="Times New Roman;serif" w:hAnsi="Times New Roman;serif"/>
          <w:b/>
          <w:color w:val="000000"/>
          <w:sz w:val="21"/>
          <w:u w:val="single"/>
        </w:rPr>
        <w:t>AUDIT</w:t>
      </w:r>
    </w:p>
    <w:p>
      <w:pPr>
        <w:pStyle w:val="TextBody"/>
        <w:bidi w:val="0"/>
        <w:spacing w:lineRule="auto" w:line="276" w:before="17" w:after="283"/>
        <w:ind w:left="0" w:right="0" w:hanging="24"/>
        <w:jc w:val="both"/>
        <w:rPr>
          <w:rFonts w:ascii="Times New Roman;serif" w:hAnsi="Times New Roman;serif"/>
          <w:b w:val="false"/>
          <w:color w:val="000000"/>
          <w:sz w:val="21"/>
        </w:rPr>
      </w:pPr>
      <w:r>
        <w:rPr>
          <w:rFonts w:ascii="Times New Roman;serif" w:hAnsi="Times New Roman;serif"/>
          <w:b w:val="false"/>
          <w:color w:val="000000"/>
          <w:sz w:val="21"/>
        </w:rPr>
        <w:t xml:space="preserve">I acknowledge that I have no reasonable expectation of privacy in any computer, handheld device, telephone, voicemail, email or other technology system that is used to conduct the business of the Company. All information, data, and messages created, received, sent, or stored in these systems are, at all times, the property of the Company. As such, the Company has the right to audit and search all such items and systems, without further notice to me, to ensure that the Company is licensed to use the software on the Company’s devices in compliance with the Company’s software licensing policies, to ensure compliance with the Company’s policies, and for any other business-related purposes in the Company’s sole discretion. I understand that I am not permitted to add any unlicensed, unauthorized, or non-compliant applications to the Company’s technology systems, including, without limitation, open source or free software not authorized by the Company, and that I shall refrain from copying unlicensed software onto the Company’s technology systems or using non-licensed </w:t>
      </w:r>
    </w:p>
    <w:p>
      <w:pPr>
        <w:pStyle w:val="TextBody"/>
        <w:bidi w:val="0"/>
        <w:spacing w:before="0" w:after="0"/>
        <w:jc w:val="left"/>
        <w:rPr/>
      </w:pPr>
      <w:r>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6480175" cy="175260"/>
                <wp:effectExtent l="0" t="0" r="0" b="0"/>
                <wp:wrapNone/>
                <wp:docPr id="214" name="Frame2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17" w:after="283"/>
        <w:jc w:val="both"/>
        <w:rPr>
          <w:rFonts w:ascii="Times New Roman;serif" w:hAnsi="Times New Roman;serif"/>
          <w:b w:val="false"/>
          <w:color w:val="000000"/>
          <w:sz w:val="21"/>
        </w:rPr>
      </w:pPr>
      <w:r>
        <w:rPr>
          <w:rFonts w:ascii="Times New Roman;serif" w:hAnsi="Times New Roman;serif"/>
          <w:b w:val="false"/>
          <w:color w:val="000000"/>
          <w:sz w:val="21"/>
        </w:rPr>
        <w:t>software or websites. I understand that it is my responsibility to comply with the Company’s policies governing use of the Company’s documents and the internet, email, telephone, and technology systems to which I will have access in connection with my employment.</w:t>
      </w:r>
    </w:p>
    <w:p>
      <w:pPr>
        <w:pStyle w:val="TextBody"/>
        <w:bidi w:val="0"/>
        <w:spacing w:before="19" w:after="283"/>
        <w:jc w:val="left"/>
        <w:rPr/>
      </w:pPr>
      <w:r>
        <w:rPr/>
      </w:r>
    </w:p>
    <w:p>
      <w:pPr>
        <w:pStyle w:val="TextBody"/>
        <w:bidi w:val="0"/>
        <w:spacing w:lineRule="auto" w:line="276" w:before="0" w:after="0"/>
        <w:ind w:left="0" w:right="0" w:firstLine="695"/>
        <w:jc w:val="both"/>
        <w:rPr>
          <w:rFonts w:ascii="Times New Roman;serif" w:hAnsi="Times New Roman;serif"/>
          <w:b w:val="false"/>
          <w:color w:val="000000"/>
          <w:sz w:val="21"/>
        </w:rPr>
      </w:pPr>
      <w:r>
        <w:rPr>
          <w:rFonts w:ascii="Times New Roman;serif" w:hAnsi="Times New Roman;serif"/>
          <w:b w:val="false"/>
          <w:color w:val="000000"/>
          <w:sz w:val="21"/>
        </w:rPr>
        <w:t>I am aware that the Company has or may acquire software and systems that are capable of monitoring and recording all Company network traffic to and from any computer, handheld device, telephone, voicemail, email or other technology system I may use to access the Company’s internal networks. The Company reserves the right to access, review, copy, and delete any of the information, data, or messages accessed through these systems with or without notice to me and/or in my absence. This includes, but is not limited to, all e-mail messages sent or received, all website visits, all chat sessions, all news group activity (including groups visited, messages read, and postings by me), and all file transfers into and out of the Company’s internal networks. The Company further reserves the right to retrieve previously deleted messages from e-mail or voicemail and monitor usage of the Internet, including websites visited and any information I have downloaded. In addition, the Company may review Internet and technology systems activity and analyze usage patterns, and may choose to publicize this data to assure that technology systems are devoted to legitimate business purposes.</w:t>
      </w:r>
    </w:p>
    <w:p>
      <w:pPr>
        <w:pStyle w:val="TextBody"/>
        <w:bidi w:val="0"/>
        <w:spacing w:before="27" w:after="283"/>
        <w:jc w:val="left"/>
        <w:rPr/>
      </w:pPr>
      <w:r>
        <w:rPr/>
      </w:r>
    </w:p>
    <w:p>
      <w:pPr>
        <w:pStyle w:val="TextBody"/>
        <w:bidi w:val="0"/>
        <w:spacing w:lineRule="auto" w:line="288" w:before="0" w:after="0"/>
        <w:ind w:left="0" w:right="0" w:hanging="719"/>
        <w:jc w:val="left"/>
        <w:rPr/>
      </w:pPr>
      <w:r>
        <w:rPr>
          <w:rFonts w:ascii="Times New Roman;serif" w:hAnsi="Times New Roman;serif"/>
          <w:b w:val="false"/>
          <w:color w:val="000000"/>
          <w:sz w:val="21"/>
        </w:rPr>
        <w:t>12.</w:t>
      </w:r>
      <w:r>
        <w:rPr>
          <w:rFonts w:ascii="Times New Roman;serif" w:hAnsi="Times New Roman;serif"/>
          <w:b/>
          <w:color w:val="000000"/>
          <w:sz w:val="21"/>
          <w:u w:val="single"/>
        </w:rPr>
        <w:t>MISCELLANEOUS</w:t>
      </w:r>
    </w:p>
    <w:p>
      <w:pPr>
        <w:pStyle w:val="TextBody"/>
        <w:bidi w:val="0"/>
        <w:spacing w:before="18" w:after="283"/>
        <w:jc w:val="left"/>
        <w:rPr/>
      </w:pPr>
      <w:r>
        <w:rPr/>
      </w:r>
    </w:p>
    <w:p>
      <w:pPr>
        <w:pStyle w:val="TextBody"/>
        <w:bidi w:val="0"/>
        <w:spacing w:lineRule="auto" w:line="276" w:before="1" w:after="283"/>
        <w:ind w:left="0" w:right="0" w:firstLine="710"/>
        <w:jc w:val="both"/>
        <w:rPr/>
      </w:pPr>
      <w:r>
        <w:rPr>
          <w:rFonts w:ascii="Times New Roman;serif" w:hAnsi="Times New Roman;serif"/>
          <w:b w:val="false"/>
          <w:color w:val="000000"/>
          <w:sz w:val="21"/>
        </w:rPr>
        <w:t>A.</w:t>
      </w:r>
      <w:r>
        <w:rPr>
          <w:rFonts w:ascii="Times New Roman;serif" w:hAnsi="Times New Roman;serif"/>
          <w:b w:val="false"/>
          <w:i/>
          <w:color w:val="000000"/>
          <w:sz w:val="21"/>
        </w:rPr>
        <w:t>Governing Law; Consent to Personal Jurisdiction</w:t>
      </w:r>
      <w:r>
        <w:rPr>
          <w:rFonts w:ascii="Times New Roman;serif" w:hAnsi="Times New Roman;serif"/>
          <w:b w:val="false"/>
          <w:color w:val="000000"/>
          <w:sz w:val="21"/>
        </w:rPr>
        <w:t>. This this Confidential Information Agreement (with the exception of the Arbitration Agreement attached as Exhibit 2 of the employment letter agreement) will be governed by the laws of the State of California without regard to California’s conflicts of law rules that may result in the application of the laws of any jurisdiction other than California.</w:t>
      </w:r>
    </w:p>
    <w:p>
      <w:pPr>
        <w:pStyle w:val="TextBody"/>
        <w:bidi w:val="0"/>
        <w:spacing w:before="4" w:after="283"/>
        <w:jc w:val="left"/>
        <w:rPr/>
      </w:pPr>
      <w:r>
        <w:rPr/>
      </w:r>
    </w:p>
    <w:p>
      <w:pPr>
        <w:pStyle w:val="TextBody"/>
        <w:bidi w:val="0"/>
        <w:spacing w:lineRule="auto" w:line="276" w:before="0" w:after="0"/>
        <w:ind w:left="0" w:right="0" w:firstLine="710"/>
        <w:jc w:val="both"/>
        <w:rPr/>
      </w:pPr>
      <w:r>
        <w:rPr>
          <w:rFonts w:ascii="Times New Roman;serif" w:hAnsi="Times New Roman;serif"/>
          <w:b w:val="false"/>
          <w:color w:val="000000"/>
          <w:sz w:val="21"/>
        </w:rPr>
        <w:t>B.</w:t>
      </w:r>
      <w:r>
        <w:rPr>
          <w:rFonts w:ascii="Times New Roman;serif" w:hAnsi="Times New Roman;serif"/>
          <w:b w:val="false"/>
          <w:i/>
          <w:color w:val="000000"/>
          <w:sz w:val="21"/>
        </w:rPr>
        <w:t xml:space="preserve">Assignability. </w:t>
      </w:r>
      <w:r>
        <w:rPr>
          <w:rFonts w:ascii="Times New Roman;serif" w:hAnsi="Times New Roman;serif"/>
          <w:b w:val="false"/>
          <w:color w:val="000000"/>
          <w:sz w:val="21"/>
        </w:rPr>
        <w:t>This Confidential Information Agreement will be binding upon my heirs, executors, assigns, administrators, and other legal representatives, and will be for the benefit of the Company, its successors, and its assigns. There are no intended third-party beneficiaries to this Confidential Information Agreement, except as may be expressly otherwise stated. Notwithstanding anything to the contrary herein, Figure may assign this Confidential Information Agreement and its rights and obligations under this Confidential Information Agreement to any successor to all or substantially all of Figure’ s relevant assets, whether by merger, consolidation, reorganization, reincorporation, sale of assets or stock, or otherwise.</w:t>
      </w:r>
    </w:p>
    <w:p>
      <w:pPr>
        <w:pStyle w:val="TextBody"/>
        <w:bidi w:val="0"/>
        <w:spacing w:lineRule="auto" w:line="276" w:before="24" w:after="283"/>
        <w:ind w:left="0" w:right="0" w:firstLine="710"/>
        <w:jc w:val="both"/>
        <w:rPr/>
      </w:pPr>
      <w:r>
        <w:rPr>
          <w:rFonts w:ascii="Times New Roman;serif" w:hAnsi="Times New Roman;serif"/>
          <w:b w:val="false"/>
          <w:color w:val="000000"/>
          <w:sz w:val="21"/>
        </w:rPr>
        <w:t>C.</w:t>
      </w:r>
      <w:r>
        <w:rPr>
          <w:rFonts w:ascii="Times New Roman;serif" w:hAnsi="Times New Roman;serif"/>
          <w:b w:val="false"/>
          <w:i/>
          <w:color w:val="000000"/>
          <w:sz w:val="21"/>
        </w:rPr>
        <w:t>Entire Agreement</w:t>
      </w:r>
      <w:r>
        <w:rPr>
          <w:rFonts w:ascii="Times New Roman;serif" w:hAnsi="Times New Roman;serif"/>
          <w:b w:val="false"/>
          <w:color w:val="000000"/>
          <w:sz w:val="21"/>
        </w:rPr>
        <w:t>. This Confidential Information Agreement, together with the Exhibits herein and any executed written offer letter or employment agreement between me and the Company, to the extent such materials are not in conflict with this Confidential Information Agreement, sets forth the entire agreement and understanding between the Company and me with respect to the subject matter herein and supersedes all prior written and oral agreements, discussions, or representations between us, including, but not limited to, any representations made during my interview(s) or relocation negotiations. I represent and warrant that I am not relying on any statement or representation not contained in this Agreement. Any subsequent change or changes in my duties, salary, compensation, conditions or any other terms of my employment will not affect the validity or scope of this Confidential Information Agreement.</w:t>
      </w:r>
    </w:p>
    <w:p>
      <w:pPr>
        <w:pStyle w:val="TextBody"/>
        <w:bidi w:val="0"/>
        <w:spacing w:before="0" w:after="0"/>
        <w:jc w:val="both"/>
        <w:rPr/>
      </w:pPr>
      <w:r>
        <w:rPr/>
      </w:r>
    </w:p>
    <w:p>
      <w:pPr>
        <w:pStyle w:val="TextBody"/>
        <w:bidi w:val="0"/>
        <w:spacing w:lineRule="auto" w:line="240" w:before="0" w:after="0"/>
        <w:ind w:left="0" w:right="0" w:firstLine="710"/>
        <w:jc w:val="both"/>
        <w:rPr/>
      </w:pPr>
      <w:r>
        <w:rPr>
          <w:rFonts w:ascii="Times New Roman;serif" w:hAnsi="Times New Roman;serif"/>
          <w:b w:val="false"/>
          <w:color w:val="000000"/>
          <w:sz w:val="22"/>
        </w:rPr>
        <w:t>D.</w:t>
      </w:r>
      <w:r>
        <w:rPr>
          <w:rFonts w:ascii="Times New Roman;serif" w:hAnsi="Times New Roman;serif"/>
          <w:b w:val="false"/>
          <w:i/>
          <w:color w:val="000000"/>
          <w:sz w:val="21"/>
        </w:rPr>
        <w:t>Severability</w:t>
      </w:r>
      <w:r>
        <w:rPr>
          <w:rFonts w:ascii="Times New Roman;serif" w:hAnsi="Times New Roman;serif"/>
          <w:b w:val="false"/>
          <w:color w:val="000000"/>
          <w:sz w:val="21"/>
        </w:rPr>
        <w:t>. If a court or other body of competent jurisdiction finds, or the Parties mutually believe, any provision of this Confidential Information Agreement, or portion thereof, to be invalid or unenforceable, such provision will be enforced to the maximum extent permissible so as to effect the intent of the Parties, and the remainder of this Confidential Information Agreement will continue in full force and effect.</w:t>
      </w:r>
    </w:p>
    <w:p>
      <w:pPr>
        <w:pStyle w:val="TextBody"/>
        <w:bidi w:val="0"/>
        <w:spacing w:before="0" w:after="0"/>
        <w:jc w:val="both"/>
        <w:rPr/>
      </w:pPr>
      <w:r>
        <w:rPr/>
      </w:r>
    </w:p>
    <w:p>
      <w:pPr>
        <w:pStyle w:val="TextBody"/>
        <w:bidi w:val="0"/>
        <w:spacing w:lineRule="auto" w:line="288" w:before="15" w:after="283"/>
        <w:ind w:left="0" w:right="0" w:firstLine="710"/>
        <w:jc w:val="both"/>
        <w:rPr/>
      </w:pPr>
      <w:r>
        <w:rPr>
          <w:rFonts w:ascii="Times New Roman;serif" w:hAnsi="Times New Roman;serif"/>
          <w:b w:val="false"/>
          <w:color w:val="000000"/>
          <w:sz w:val="21"/>
        </w:rPr>
        <w:t>E.</w:t>
      </w:r>
      <w:r>
        <w:rPr>
          <w:rFonts w:ascii="Times New Roman;serif" w:hAnsi="Times New Roman;serif"/>
          <w:b w:val="false"/>
          <w:i/>
          <w:color w:val="000000"/>
          <w:sz w:val="21"/>
        </w:rPr>
        <w:t>Modification, Waiver</w:t>
      </w:r>
      <w:r>
        <w:rPr>
          <w:rFonts w:ascii="Times New Roman;serif" w:hAnsi="Times New Roman;serif"/>
          <w:b w:val="false"/>
          <w:color w:val="000000"/>
          <w:sz w:val="21"/>
        </w:rPr>
        <w:t>. No modification of or amendment to this Confidential Information Agreement, nor any waiver of any rights under this Confidential Information Agreement, will be effective unless in a writing signed by the Chairman of the Board and me. Waiver by Figure of a breach of any provision of this Confidential Information Agreement will not operate as a waiver of any other or subsequent breach.</w:t>
      </w:r>
    </w:p>
    <w:p>
      <w:pPr>
        <w:pStyle w:val="TextBody"/>
        <w:bidi w:val="0"/>
        <w:spacing w:before="0" w:after="0"/>
        <w:jc w:val="both"/>
        <w:rPr/>
      </w:pPr>
      <w:r>
        <w:rPr/>
      </w:r>
    </w:p>
    <w:p>
      <w:pPr>
        <w:pStyle w:val="TextBody"/>
        <w:bidi w:val="0"/>
        <w:spacing w:lineRule="auto" w:line="288" w:before="14" w:after="283"/>
        <w:ind w:left="0" w:right="0" w:firstLine="710"/>
        <w:jc w:val="both"/>
        <w:rPr/>
      </w:pPr>
      <w:r>
        <w:rPr>
          <w:rFonts w:ascii="Times New Roman;serif" w:hAnsi="Times New Roman;serif"/>
          <w:b w:val="false"/>
          <w:color w:val="000000"/>
          <w:sz w:val="21"/>
        </w:rPr>
        <w:t>F.</w:t>
      </w:r>
      <w:r>
        <w:rPr>
          <w:rFonts w:ascii="Times New Roman;serif" w:hAnsi="Times New Roman;serif"/>
          <w:b w:val="false"/>
          <w:i/>
          <w:color w:val="000000"/>
          <w:sz w:val="21"/>
        </w:rPr>
        <w:t>Survivorship</w:t>
      </w:r>
      <w:r>
        <w:rPr>
          <w:rFonts w:ascii="Times New Roman;serif" w:hAnsi="Times New Roman;serif"/>
          <w:b w:val="false"/>
          <w:color w:val="000000"/>
          <w:sz w:val="21"/>
        </w:rPr>
        <w:t>. The rights and obligations of the parties to this Confidential Information Agreement will survive termination of my employment with the Company.</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jc w:val="left"/>
        <w:rPr>
          <w:rFonts w:ascii="Times New Roman;serif" w:hAnsi="Times New Roman;serif"/>
          <w:b/>
          <w:color w:val="000000"/>
          <w:sz w:val="24"/>
        </w:rPr>
      </w:pPr>
      <w:r>
        <w:rPr>
          <w:rFonts w:ascii="Times New Roman;serif" w:hAnsi="Times New Roman;serif"/>
          <w:b/>
          <w:color w:val="000000"/>
          <w:sz w:val="24"/>
        </w:rPr>
        <w:t>FT INTERMEDIATE, INC.</w:t>
      </w:r>
    </w:p>
    <w:p>
      <w:pPr>
        <w:pStyle w:val="TextBody"/>
        <w:bidi w:val="0"/>
        <w:spacing w:before="0" w:after="0"/>
        <w:jc w:val="left"/>
        <w:rPr/>
      </w:pPr>
      <w:r>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6480175" cy="175260"/>
                <wp:effectExtent l="0" t="0" r="0" b="0"/>
                <wp:wrapNone/>
                <wp:docPr id="215" name="Frame2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4602" w:type="dxa"/>
        <w:jc w:val="left"/>
        <w:tblInd w:w="0" w:type="dxa"/>
        <w:tblLayout w:type="fixed"/>
        <w:tblCellMar>
          <w:top w:w="28" w:type="dxa"/>
          <w:left w:w="28" w:type="dxa"/>
          <w:bottom w:w="28" w:type="dxa"/>
          <w:right w:w="28" w:type="dxa"/>
        </w:tblCellMar>
      </w:tblPr>
      <w:tblGrid>
        <w:gridCol w:w="1182"/>
        <w:gridCol w:w="1042"/>
        <w:gridCol w:w="1046"/>
        <w:gridCol w:w="109"/>
        <w:gridCol w:w="109"/>
        <w:gridCol w:w="109"/>
        <w:gridCol w:w="294"/>
        <w:gridCol w:w="294"/>
        <w:gridCol w:w="417"/>
      </w:tblGrid>
      <w:tr>
        <w:trPr/>
        <w:tc>
          <w:tcPr>
            <w:tcW w:w="1182"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Doug Burns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4/15/2024</w:t>
            </w:r>
          </w:p>
        </w:tc>
      </w:tr>
      <w:tr>
        <w:trPr/>
        <w:tc>
          <w:tcPr>
            <w:tcW w:w="32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Douglas Burns, Chief People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ACKNOWLEDGED AND AGREED:</w:t>
      </w:r>
    </w:p>
    <w:p>
      <w:pPr>
        <w:pStyle w:val="TextBody"/>
        <w:bidi w:val="0"/>
        <w:spacing w:before="0" w:after="0"/>
        <w:jc w:val="left"/>
        <w:rPr/>
      </w:pPr>
      <w:r>
        <w:rPr/>
      </w:r>
    </w:p>
    <w:p>
      <w:pPr>
        <w:pStyle w:val="TextBody"/>
        <w:bidi w:val="0"/>
        <w:spacing w:before="0" w:after="0"/>
        <w:jc w:val="left"/>
        <w:rPr/>
      </w:pPr>
      <w:r>
        <w:rPr/>
      </w:r>
    </w:p>
    <w:tbl>
      <w:tblPr>
        <w:tblW w:w="3596" w:type="dxa"/>
        <w:jc w:val="left"/>
        <w:tblInd w:w="0" w:type="dxa"/>
        <w:tblLayout w:type="fixed"/>
        <w:tblCellMar>
          <w:top w:w="28" w:type="dxa"/>
          <w:left w:w="28" w:type="dxa"/>
          <w:bottom w:w="28" w:type="dxa"/>
          <w:right w:w="28" w:type="dxa"/>
        </w:tblCellMar>
      </w:tblPr>
      <w:tblGrid>
        <w:gridCol w:w="820"/>
        <w:gridCol w:w="721"/>
        <w:gridCol w:w="723"/>
        <w:gridCol w:w="109"/>
        <w:gridCol w:w="109"/>
        <w:gridCol w:w="109"/>
        <w:gridCol w:w="294"/>
        <w:gridCol w:w="294"/>
        <w:gridCol w:w="417"/>
      </w:tblGrid>
      <w:tr>
        <w:trPr/>
        <w:tc>
          <w:tcPr>
            <w:tcW w:w="820"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Michael Tannenbaum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4/16/2024</w:t>
            </w:r>
          </w:p>
        </w:tc>
      </w:tr>
      <w:tr>
        <w:trPr/>
        <w:tc>
          <w:tcPr>
            <w:tcW w:w="22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6480175" cy="175260"/>
                <wp:effectExtent l="0" t="0" r="0" b="0"/>
                <wp:wrapNone/>
                <wp:docPr id="216" name="Frame2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72"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2" w:before="0" w:after="0"/>
        <w:jc w:val="center"/>
        <w:rPr/>
      </w:pPr>
      <w:r>
        <w:rPr>
          <w:rFonts w:ascii="Times New Roman;serif" w:hAnsi="Times New Roman;serif"/>
          <w:b/>
          <w:color w:val="000000"/>
          <w:sz w:val="24"/>
          <w:u w:val="single"/>
        </w:rPr>
        <w:t>EXHIBIT A TO CONFIDENTIAL INFORMATION AND INVENTION ASSIGNMENT</w:t>
      </w:r>
      <w:r>
        <w:rPr>
          <w:color w:val="000000"/>
        </w:rPr>
        <w:t xml:space="preserve"> </w:t>
      </w:r>
      <w:r>
        <w:rPr>
          <w:rFonts w:ascii="Times New Roman;serif" w:hAnsi="Times New Roman;serif"/>
          <w:b/>
          <w:color w:val="000000"/>
          <w:sz w:val="24"/>
          <w:u w:val="single"/>
        </w:rPr>
        <w:t>AGREEMENT</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LIST OF PRIOR INVENTIONS AND ORIGINAL WORKS OF AUTHORSHIP</w:t>
      </w:r>
    </w:p>
    <w:p>
      <w:pPr>
        <w:pStyle w:val="TextBody"/>
        <w:bidi w:val="0"/>
        <w:spacing w:before="103" w:after="283"/>
        <w:jc w:val="left"/>
        <w:rPr/>
      </w:pPr>
      <w:r>
        <w:rPr/>
      </w:r>
    </w:p>
    <w:tbl>
      <w:tblPr>
        <w:tblW w:w="5170" w:type="dxa"/>
        <w:jc w:val="left"/>
        <w:tblInd w:w="0" w:type="dxa"/>
        <w:tblLayout w:type="fixed"/>
        <w:tblCellMar>
          <w:top w:w="28" w:type="dxa"/>
          <w:left w:w="28" w:type="dxa"/>
          <w:bottom w:w="28" w:type="dxa"/>
          <w:right w:w="28" w:type="dxa"/>
        </w:tblCellMar>
      </w:tblPr>
      <w:tblGrid>
        <w:gridCol w:w="179"/>
        <w:gridCol w:w="158"/>
        <w:gridCol w:w="159"/>
        <w:gridCol w:w="109"/>
        <w:gridCol w:w="109"/>
        <w:gridCol w:w="109"/>
        <w:gridCol w:w="170"/>
        <w:gridCol w:w="170"/>
        <w:gridCol w:w="171"/>
        <w:gridCol w:w="109"/>
        <w:gridCol w:w="109"/>
        <w:gridCol w:w="109"/>
        <w:gridCol w:w="1025"/>
        <w:gridCol w:w="1025"/>
        <w:gridCol w:w="1459"/>
      </w:tblGrid>
      <w:tr>
        <w:trPr/>
        <w:tc>
          <w:tcPr>
            <w:tcW w:w="17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459" w:type="dxa"/>
            <w:tcBorders/>
            <w:vAlign w:val="center"/>
          </w:tcPr>
          <w:p>
            <w:pPr>
              <w:pStyle w:val="TableContents"/>
              <w:bidi w:val="0"/>
              <w:spacing w:before="0" w:after="283"/>
              <w:jc w:val="left"/>
              <w:rPr>
                <w:sz w:val="4"/>
                <w:szCs w:val="4"/>
              </w:rPr>
            </w:pPr>
            <w:r>
              <w:rPr>
                <w:sz w:val="4"/>
                <w:szCs w:val="4"/>
              </w:rPr>
            </w:r>
          </w:p>
        </w:tc>
      </w:tr>
      <w:tr>
        <w:trPr/>
        <w:tc>
          <w:tcPr>
            <w:tcW w:w="4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Identifying Number or Brief Description</w:t>
            </w:r>
          </w:p>
        </w:tc>
      </w:tr>
      <w:tr>
        <w:trPr/>
        <w:tc>
          <w:tcPr>
            <w:tcW w:w="4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color w:val="000000"/>
          <w:u w:val="single"/>
        </w:rPr>
        <w:t>    </w:t>
      </w:r>
      <w:r>
        <w:rPr>
          <w:rFonts w:ascii="sans-serif" w:hAnsi="sans-serif"/>
          <w:b w:val="false"/>
          <w:color w:val="000000"/>
          <w:sz w:val="20"/>
        </w:rPr>
        <w:t>No inventions or improvements</w:t>
      </w:r>
    </w:p>
    <w:p>
      <w:pPr>
        <w:pStyle w:val="TextBody"/>
        <w:bidi w:val="0"/>
        <w:spacing w:lineRule="auto" w:line="288" w:before="0" w:after="0"/>
        <w:jc w:val="left"/>
        <w:rPr/>
      </w:pPr>
      <w:r>
        <w:rPr>
          <w:color w:val="000000"/>
          <w:u w:val="single"/>
        </w:rPr>
        <w:t>    </w:t>
      </w:r>
      <w:r>
        <w:rPr>
          <w:rFonts w:ascii="sans-serif" w:hAnsi="sans-serif"/>
          <w:b w:val="false"/>
          <w:color w:val="000000"/>
          <w:sz w:val="20"/>
        </w:rPr>
        <w:t>Additional Sheets Attached</w:t>
      </w:r>
    </w:p>
    <w:p>
      <w:pPr>
        <w:pStyle w:val="TextBody"/>
        <w:bidi w:val="0"/>
        <w:spacing w:before="0" w:after="0"/>
        <w:ind w:left="0" w:right="0" w:hanging="264"/>
        <w:jc w:val="left"/>
        <w:rPr/>
      </w:pPr>
      <w:r>
        <w:rPr/>
      </w:r>
    </w:p>
    <w:tbl>
      <w:tblPr>
        <w:tblW w:w="3596" w:type="dxa"/>
        <w:jc w:val="left"/>
        <w:tblInd w:w="0" w:type="dxa"/>
        <w:tblLayout w:type="fixed"/>
        <w:tblCellMar>
          <w:top w:w="28" w:type="dxa"/>
          <w:left w:w="28" w:type="dxa"/>
          <w:bottom w:w="28" w:type="dxa"/>
          <w:right w:w="28" w:type="dxa"/>
        </w:tblCellMar>
      </w:tblPr>
      <w:tblGrid>
        <w:gridCol w:w="820"/>
        <w:gridCol w:w="721"/>
        <w:gridCol w:w="723"/>
        <w:gridCol w:w="109"/>
        <w:gridCol w:w="109"/>
        <w:gridCol w:w="109"/>
        <w:gridCol w:w="294"/>
        <w:gridCol w:w="294"/>
        <w:gridCol w:w="417"/>
      </w:tblGrid>
      <w:tr>
        <w:trPr/>
        <w:tc>
          <w:tcPr>
            <w:tcW w:w="820"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Michael Tannenbaum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4/16/2024</w:t>
            </w:r>
          </w:p>
        </w:tc>
      </w:tr>
      <w:tr>
        <w:trPr/>
        <w:tc>
          <w:tcPr>
            <w:tcW w:w="22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4602" w:type="dxa"/>
        <w:jc w:val="left"/>
        <w:tblInd w:w="0" w:type="dxa"/>
        <w:tblLayout w:type="fixed"/>
        <w:tblCellMar>
          <w:top w:w="28" w:type="dxa"/>
          <w:left w:w="28" w:type="dxa"/>
          <w:bottom w:w="28" w:type="dxa"/>
          <w:right w:w="28" w:type="dxa"/>
        </w:tblCellMar>
      </w:tblPr>
      <w:tblGrid>
        <w:gridCol w:w="1182"/>
        <w:gridCol w:w="1042"/>
        <w:gridCol w:w="1046"/>
        <w:gridCol w:w="109"/>
        <w:gridCol w:w="109"/>
        <w:gridCol w:w="109"/>
        <w:gridCol w:w="294"/>
        <w:gridCol w:w="294"/>
        <w:gridCol w:w="417"/>
      </w:tblGrid>
      <w:tr>
        <w:trPr/>
        <w:tc>
          <w:tcPr>
            <w:tcW w:w="1182"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Doug Burns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4/16/2024</w:t>
            </w:r>
          </w:p>
        </w:tc>
      </w:tr>
      <w:tr>
        <w:trPr/>
        <w:tc>
          <w:tcPr>
            <w:tcW w:w="32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Douglas Burns, Chief People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62"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6480175" cy="175260"/>
                <wp:effectExtent l="0" t="0" r="0" b="0"/>
                <wp:wrapNone/>
                <wp:docPr id="217" name="Frame2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6480175" cy="175260"/>
                <wp:effectExtent l="0" t="0" r="0" b="0"/>
                <wp:wrapNone/>
                <wp:docPr id="218" name="Frame2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89" w:after="283"/>
        <w:ind w:left="0" w:right="0" w:hanging="689"/>
        <w:jc w:val="left"/>
        <w:rPr/>
      </w:pPr>
      <w:r>
        <w:rPr/>
      </w:r>
    </w:p>
    <w:p>
      <w:pPr>
        <w:pStyle w:val="TextBody"/>
        <w:bidi w:val="0"/>
        <w:spacing w:lineRule="auto" w:line="288" w:before="0" w:after="0"/>
        <w:jc w:val="center"/>
        <w:rPr/>
      </w:pPr>
      <w:r>
        <w:rPr>
          <w:rFonts w:ascii="Times New Roman;serif" w:hAnsi="Times New Roman;serif"/>
          <w:b/>
          <w:color w:val="000000"/>
          <w:sz w:val="24"/>
          <w:u w:val="single"/>
        </w:rPr>
        <w:t xml:space="preserve">EXHIBIT B TO CONFIDENTIAL INFORMATION AND INVENTION ASSIGNMENT AGREEMENT </w:t>
      </w:r>
      <w:r>
        <w:rPr>
          <w:rFonts w:ascii="Times New Roman;serif" w:hAnsi="Times New Roman;serif"/>
          <w:b/>
          <w:color w:val="000000"/>
          <w:sz w:val="24"/>
        </w:rPr>
        <w:t>CALIFORNIA LABOR CODE SECTION 2870</w:t>
      </w:r>
    </w:p>
    <w:p>
      <w:pPr>
        <w:pStyle w:val="TextBody"/>
        <w:bidi w:val="0"/>
        <w:spacing w:lineRule="auto" w:line="288" w:before="22" w:after="283"/>
        <w:jc w:val="center"/>
        <w:rPr>
          <w:rFonts w:ascii="Times New Roman;serif" w:hAnsi="Times New Roman;serif"/>
          <w:b/>
          <w:color w:val="000000"/>
          <w:sz w:val="24"/>
        </w:rPr>
      </w:pPr>
      <w:r>
        <w:rPr>
          <w:rFonts w:ascii="Times New Roman;serif" w:hAnsi="Times New Roman;serif"/>
          <w:b/>
          <w:color w:val="000000"/>
          <w:sz w:val="24"/>
        </w:rPr>
        <w:t>INVENTION ON OWN TIME-EXEMPTION FROM AGREEMENT</w:t>
      </w:r>
    </w:p>
    <w:p>
      <w:pPr>
        <w:pStyle w:val="TextBody"/>
        <w:bidi w:val="0"/>
        <w:spacing w:before="2" w:after="283"/>
        <w:jc w:val="left"/>
        <w:rPr/>
      </w:pPr>
      <w:r>
        <w:rPr/>
      </w:r>
    </w:p>
    <w:p>
      <w:pPr>
        <w:pStyle w:val="TextBody"/>
        <w:bidi w:val="0"/>
        <w:spacing w:lineRule="auto" w:line="285" w:before="0" w:after="0"/>
        <w:ind w:left="0" w:right="0" w:firstLine="717"/>
        <w:jc w:val="both"/>
        <w:rPr>
          <w:color w:val="000000"/>
        </w:rPr>
      </w:pPr>
      <w:r>
        <w:rPr>
          <w:color w:val="000000"/>
        </w:rPr>
        <w:t>“</w:t>
      </w:r>
      <w:r>
        <w:rPr>
          <w:rFonts w:ascii="Times New Roman;serif" w:hAnsi="Times New Roman;serif"/>
          <w:b w:val="false"/>
          <w:color w:val="000000"/>
          <w:sz w:val="24"/>
        </w:rPr>
        <w:t>(a) Any provision in an employment agreement which provides that an employee shall assign, or offer to assign, any of his or her rights in an invention to his or her employer shall not apply to an invention that the employee developed entirely on his or her own time without using the employer’s equipment, supplies, facilities, or trade secret information except for those inventions that either:</w:t>
      </w:r>
    </w:p>
    <w:p>
      <w:pPr>
        <w:pStyle w:val="TextBody"/>
        <w:bidi w:val="0"/>
        <w:spacing w:lineRule="auto" w:line="285" w:before="269" w:after="283"/>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(1)Relate at the time of conception or reduction to practice of the invention to the employer’s business, or actual or demonstrably anticipated research or development of the employer; or</w:t>
      </w:r>
    </w:p>
    <w:p>
      <w:pPr>
        <w:pStyle w:val="TextBody"/>
        <w:bidi w:val="0"/>
        <w:spacing w:lineRule="auto" w:line="285" w:before="266" w:after="283"/>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(2)Result from any work performed by the employee for the employer. (b) To the extent a provision in an employment agreement purports to require an employee to assign an invention otherwise excluded from being required to be assigned under subdivision (a), the provision is against the public policy of this state and is unenforceable.”</w:t>
      </w:r>
    </w:p>
    <w:p>
      <w:pPr>
        <w:pStyle w:val="TextBody"/>
        <w:bidi w:val="0"/>
        <w:spacing w:before="0" w:after="0"/>
        <w:ind w:left="0" w:right="0" w:firstLine="71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6480175" cy="175260"/>
                <wp:effectExtent l="0" t="0" r="0" b="0"/>
                <wp:wrapNone/>
                <wp:docPr id="219" name="Frame2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0"/>
        <w:ind w:left="0" w:right="0" w:hanging="689"/>
        <w:jc w:val="left"/>
        <w:rPr/>
      </w:pPr>
      <w:r>
        <w:rPr>
          <w:rFonts w:ascii="Times New Roman;serif" w:hAnsi="Times New Roman;serif"/>
          <w:b/>
          <w:color w:val="000000"/>
          <w:sz w:val="24"/>
          <w:u w:val="single"/>
        </w:rPr>
        <w:t>EXHIBIT C TO CONFIDENTIAL INFORMATION AND</w:t>
      </w:r>
      <w:r>
        <w:rPr>
          <w:color w:val="000000"/>
        </w:rPr>
        <w:t xml:space="preserve"> </w:t>
      </w:r>
      <w:r>
        <w:rPr>
          <w:rFonts w:ascii="Times New Roman;serif" w:hAnsi="Times New Roman;serif"/>
          <w:b/>
          <w:color w:val="000000"/>
          <w:sz w:val="24"/>
          <w:u w:val="single"/>
        </w:rPr>
        <w:t>INVENTION ASSIGNMENT AGREEMENT</w:t>
      </w:r>
    </w:p>
    <w:p>
      <w:pPr>
        <w:pStyle w:val="TextBody"/>
        <w:bidi w:val="0"/>
        <w:spacing w:before="132" w:after="283"/>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FT INTERMEDIATE, INC. CONFLICT OF INTEREST GUIDELINES</w:t>
      </w:r>
    </w:p>
    <w:p>
      <w:pPr>
        <w:pStyle w:val="TextBody"/>
        <w:bidi w:val="0"/>
        <w:spacing w:before="3" w:after="283"/>
        <w:jc w:val="left"/>
        <w:rPr/>
      </w:pPr>
      <w:r>
        <w:rPr/>
      </w:r>
    </w:p>
    <w:p>
      <w:pPr>
        <w:pStyle w:val="TextBody"/>
        <w:bidi w:val="0"/>
        <w:spacing w:lineRule="auto" w:line="285" w:before="0" w:after="0"/>
        <w:ind w:left="0" w:right="0" w:firstLine="719"/>
        <w:jc w:val="both"/>
        <w:rPr>
          <w:rFonts w:ascii="Times New Roman;serif" w:hAnsi="Times New Roman;serif"/>
          <w:b w:val="false"/>
          <w:color w:val="000000"/>
          <w:sz w:val="20"/>
        </w:rPr>
      </w:pPr>
      <w:r>
        <w:rPr>
          <w:rFonts w:ascii="Times New Roman;serif" w:hAnsi="Times New Roman;serif"/>
          <w:b w:val="false"/>
          <w:color w:val="000000"/>
          <w:sz w:val="20"/>
        </w:rPr>
        <w:t>It is the policy of the Company to conduct its affairs in strict compliance with the letter and spirit of the law and to adhere to the highest principles of business ethics. Accordingly, all officers, employees, and independent contractors must avoid activities that are in conflict, or give the appearance of being in conflict, with these principles and with the interests of the Company. The following are potentially compromising situations that must be avoided:</w:t>
      </w:r>
    </w:p>
    <w:p>
      <w:pPr>
        <w:pStyle w:val="TextBody"/>
        <w:bidi w:val="0"/>
        <w:spacing w:before="35" w:after="283"/>
        <w:jc w:val="left"/>
        <w:rPr/>
      </w:pPr>
      <w:r>
        <w:rPr/>
      </w:r>
    </w:p>
    <w:p>
      <w:pPr>
        <w:pStyle w:val="TextBody"/>
        <w:bidi w:val="0"/>
        <w:spacing w:lineRule="auto" w:line="285" w:before="0" w:after="0"/>
        <w:ind w:left="0" w:right="0" w:hanging="723"/>
        <w:jc w:val="both"/>
        <w:rPr>
          <w:rFonts w:ascii="Times New Roman;serif" w:hAnsi="Times New Roman;serif"/>
          <w:b w:val="false"/>
          <w:color w:val="000000"/>
          <w:sz w:val="20"/>
        </w:rPr>
      </w:pPr>
      <w:r>
        <w:rPr>
          <w:rFonts w:ascii="Times New Roman;serif" w:hAnsi="Times New Roman;serif"/>
          <w:b w:val="false"/>
          <w:color w:val="000000"/>
          <w:sz w:val="20"/>
        </w:rPr>
        <w:t>1.Revealing confidential information to outsiders or misusing confidential information. Unauthorized divulging of information is a violation of this policy whether or not for personal gain and whether or not harm to the Company is intended. (The Confidential Information and Invention Assignment Agreement elaborates on this principle and is a binding agreement.)</w:t>
      </w:r>
    </w:p>
    <w:p>
      <w:pPr>
        <w:pStyle w:val="TextBody"/>
        <w:bidi w:val="0"/>
        <w:spacing w:before="35" w:after="283"/>
        <w:jc w:val="left"/>
        <w:rPr/>
      </w:pPr>
      <w:r>
        <w:rPr/>
      </w:r>
    </w:p>
    <w:p>
      <w:pPr>
        <w:pStyle w:val="TextBody"/>
        <w:bidi w:val="0"/>
        <w:spacing w:lineRule="auto" w:line="285" w:before="0" w:after="0"/>
        <w:ind w:left="0" w:right="0" w:hanging="723"/>
        <w:jc w:val="both"/>
        <w:rPr>
          <w:rFonts w:ascii="Times New Roman;serif" w:hAnsi="Times New Roman;serif"/>
          <w:b w:val="false"/>
          <w:color w:val="000000"/>
          <w:sz w:val="20"/>
        </w:rPr>
      </w:pPr>
      <w:r>
        <w:rPr>
          <w:rFonts w:ascii="Times New Roman;serif" w:hAnsi="Times New Roman;serif"/>
          <w:b w:val="false"/>
          <w:color w:val="000000"/>
          <w:sz w:val="20"/>
        </w:rPr>
        <w:t>2.Accepting or offering substantial gifts, excessive entertainment, favors, or payments that may be deemed to constitute undue influence or otherwise be improper or embarrassing to the Company.</w:t>
      </w:r>
    </w:p>
    <w:p>
      <w:pPr>
        <w:pStyle w:val="TextBody"/>
        <w:bidi w:val="0"/>
        <w:spacing w:before="35" w:after="283"/>
        <w:jc w:val="left"/>
        <w:rPr/>
      </w:pPr>
      <w:r>
        <w:rPr/>
      </w:r>
    </w:p>
    <w:p>
      <w:pPr>
        <w:pStyle w:val="TextBody"/>
        <w:bidi w:val="0"/>
        <w:spacing w:lineRule="auto" w:line="285" w:before="1" w:after="283"/>
        <w:ind w:left="0" w:right="0" w:hanging="723"/>
        <w:jc w:val="both"/>
        <w:rPr>
          <w:rFonts w:ascii="Times New Roman;serif" w:hAnsi="Times New Roman;serif"/>
          <w:b w:val="false"/>
          <w:color w:val="000000"/>
          <w:sz w:val="20"/>
        </w:rPr>
      </w:pPr>
      <w:r>
        <w:rPr>
          <w:rFonts w:ascii="Times New Roman;serif" w:hAnsi="Times New Roman;serif"/>
          <w:b w:val="false"/>
          <w:color w:val="000000"/>
          <w:sz w:val="20"/>
        </w:rPr>
        <w:t>3.Participating in civic or professional organizations that might involve divulging confidential information of the Company.</w:t>
      </w:r>
    </w:p>
    <w:p>
      <w:pPr>
        <w:pStyle w:val="TextBody"/>
        <w:bidi w:val="0"/>
        <w:spacing w:before="35" w:after="283"/>
        <w:jc w:val="left"/>
        <w:rPr/>
      </w:pPr>
      <w:r>
        <w:rPr/>
      </w:r>
    </w:p>
    <w:p>
      <w:pPr>
        <w:pStyle w:val="TextBody"/>
        <w:bidi w:val="0"/>
        <w:spacing w:lineRule="auto" w:line="283" w:before="0" w:after="0"/>
        <w:ind w:left="0" w:right="0" w:hanging="723"/>
        <w:jc w:val="both"/>
        <w:rPr>
          <w:rFonts w:ascii="Times New Roman;serif" w:hAnsi="Times New Roman;serif"/>
          <w:b w:val="false"/>
          <w:color w:val="000000"/>
          <w:sz w:val="20"/>
        </w:rPr>
      </w:pPr>
      <w:r>
        <w:rPr>
          <w:rFonts w:ascii="Times New Roman;serif" w:hAnsi="Times New Roman;serif"/>
          <w:b w:val="false"/>
          <w:color w:val="000000"/>
          <w:sz w:val="20"/>
        </w:rPr>
        <w:t>4.Initiating or approving personnel actions affecting reward or punishment of employees or applicants where there is a family relationship or is or appears to be a personal or social involvement.</w:t>
      </w:r>
    </w:p>
    <w:p>
      <w:pPr>
        <w:pStyle w:val="TextBody"/>
        <w:bidi w:val="0"/>
        <w:spacing w:before="40" w:after="283"/>
        <w:jc w:val="left"/>
        <w:rPr/>
      </w:pPr>
      <w:r>
        <w:rPr/>
      </w:r>
    </w:p>
    <w:p>
      <w:pPr>
        <w:pStyle w:val="TextBody"/>
        <w:bidi w:val="0"/>
        <w:spacing w:lineRule="auto" w:line="288" w:before="0" w:after="0"/>
        <w:ind w:left="0" w:right="0" w:hanging="722"/>
        <w:jc w:val="left"/>
        <w:rPr>
          <w:rFonts w:ascii="Times New Roman;serif" w:hAnsi="Times New Roman;serif"/>
          <w:b w:val="false"/>
          <w:color w:val="000000"/>
          <w:sz w:val="20"/>
        </w:rPr>
      </w:pPr>
      <w:r>
        <w:rPr>
          <w:rFonts w:ascii="Times New Roman;serif" w:hAnsi="Times New Roman;serif"/>
          <w:b w:val="false"/>
          <w:color w:val="000000"/>
          <w:sz w:val="20"/>
        </w:rPr>
        <w:t>5.Initiating or approving any form of personal or social harassment of employees.</w:t>
      </w:r>
    </w:p>
    <w:p>
      <w:pPr>
        <w:pStyle w:val="TextBody"/>
        <w:bidi w:val="0"/>
        <w:spacing w:before="42" w:after="283"/>
        <w:jc w:val="left"/>
        <w:rPr/>
      </w:pPr>
      <w:r>
        <w:rPr/>
      </w:r>
    </w:p>
    <w:p>
      <w:pPr>
        <w:pStyle w:val="TextBody"/>
        <w:bidi w:val="0"/>
        <w:spacing w:lineRule="auto" w:line="285" w:before="0" w:after="0"/>
        <w:ind w:left="0" w:right="0" w:hanging="723"/>
        <w:jc w:val="both"/>
        <w:rPr>
          <w:rFonts w:ascii="Times New Roman;serif" w:hAnsi="Times New Roman;serif"/>
          <w:b w:val="false"/>
          <w:color w:val="000000"/>
          <w:sz w:val="20"/>
        </w:rPr>
      </w:pPr>
      <w:r>
        <w:rPr>
          <w:rFonts w:ascii="Times New Roman;serif" w:hAnsi="Times New Roman;serif"/>
          <w:b w:val="false"/>
          <w:color w:val="000000"/>
          <w:sz w:val="20"/>
        </w:rPr>
        <w:t>6.Investing or holding outside directorship in suppliers, customers, or competing companies, including financial speculations, where such investment or directorship might influence in any manner a decision or course of action of the Company.</w:t>
      </w:r>
    </w:p>
    <w:p>
      <w:pPr>
        <w:pStyle w:val="TextBody"/>
        <w:bidi w:val="0"/>
        <w:spacing w:before="36" w:after="283"/>
        <w:jc w:val="left"/>
        <w:rPr/>
      </w:pPr>
      <w:r>
        <w:rPr/>
      </w:r>
    </w:p>
    <w:p>
      <w:pPr>
        <w:pStyle w:val="TextBody"/>
        <w:bidi w:val="0"/>
        <w:spacing w:lineRule="auto" w:line="288" w:before="0" w:after="0"/>
        <w:ind w:left="0" w:right="0" w:hanging="722"/>
        <w:jc w:val="left"/>
        <w:rPr>
          <w:rFonts w:ascii="Times New Roman;serif" w:hAnsi="Times New Roman;serif"/>
          <w:b w:val="false"/>
          <w:color w:val="000000"/>
          <w:sz w:val="20"/>
        </w:rPr>
      </w:pPr>
      <w:r>
        <w:rPr>
          <w:rFonts w:ascii="Times New Roman;serif" w:hAnsi="Times New Roman;serif"/>
          <w:b w:val="false"/>
          <w:color w:val="000000"/>
          <w:sz w:val="20"/>
        </w:rPr>
        <w:t>7.Borrowing from or lending to employees, customers, or suppliers.</w:t>
      </w:r>
    </w:p>
    <w:p>
      <w:pPr>
        <w:pStyle w:val="TextBody"/>
        <w:bidi w:val="0"/>
        <w:spacing w:before="42" w:after="283"/>
        <w:jc w:val="left"/>
        <w:rPr/>
      </w:pPr>
      <w:r>
        <w:rPr/>
      </w:r>
    </w:p>
    <w:p>
      <w:pPr>
        <w:pStyle w:val="TextBody"/>
        <w:bidi w:val="0"/>
        <w:spacing w:lineRule="auto" w:line="288" w:before="0" w:after="0"/>
        <w:ind w:left="0" w:right="0" w:hanging="722"/>
        <w:jc w:val="left"/>
        <w:rPr>
          <w:rFonts w:ascii="Times New Roman;serif" w:hAnsi="Times New Roman;serif"/>
          <w:b w:val="false"/>
          <w:color w:val="000000"/>
          <w:sz w:val="20"/>
        </w:rPr>
      </w:pPr>
      <w:r>
        <w:rPr>
          <w:rFonts w:ascii="Times New Roman;serif" w:hAnsi="Times New Roman;serif"/>
          <w:b w:val="false"/>
          <w:color w:val="000000"/>
          <w:sz w:val="20"/>
        </w:rPr>
        <w:t>8.Acquiring real estate of interest to the Company.</w:t>
      </w:r>
    </w:p>
    <w:p>
      <w:pPr>
        <w:pStyle w:val="TextBody"/>
        <w:bidi w:val="0"/>
        <w:spacing w:before="41" w:after="283"/>
        <w:jc w:val="left"/>
        <w:rPr/>
      </w:pPr>
      <w:r>
        <w:rPr/>
      </w:r>
    </w:p>
    <w:p>
      <w:pPr>
        <w:pStyle w:val="TextBody"/>
        <w:bidi w:val="0"/>
        <w:spacing w:lineRule="auto" w:line="285" w:before="1" w:after="283"/>
        <w:ind w:left="0" w:right="0" w:hanging="723"/>
        <w:jc w:val="both"/>
        <w:rPr>
          <w:rFonts w:ascii="Times New Roman;serif" w:hAnsi="Times New Roman;serif"/>
          <w:b w:val="false"/>
          <w:color w:val="000000"/>
          <w:sz w:val="20"/>
        </w:rPr>
      </w:pPr>
      <w:r>
        <w:rPr>
          <w:rFonts w:ascii="Times New Roman;serif" w:hAnsi="Times New Roman;serif"/>
          <w:b w:val="false"/>
          <w:color w:val="000000"/>
          <w:sz w:val="20"/>
        </w:rPr>
        <w:t>9.Improperly using or disclosing to the Company any proprietary information or trade secrets of any former or concurrent employer or other person or entity with whom obligations of confidentiality exist.</w:t>
      </w:r>
    </w:p>
    <w:p>
      <w:pPr>
        <w:pStyle w:val="TextBody"/>
        <w:bidi w:val="0"/>
        <w:spacing w:before="35" w:after="283"/>
        <w:jc w:val="left"/>
        <w:rPr/>
      </w:pPr>
      <w:r>
        <w:rPr/>
      </w:r>
    </w:p>
    <w:p>
      <w:pPr>
        <w:pStyle w:val="TextBody"/>
        <w:bidi w:val="0"/>
        <w:spacing w:lineRule="auto" w:line="288" w:before="0" w:after="0"/>
        <w:ind w:left="0" w:right="0" w:hanging="722"/>
        <w:jc w:val="left"/>
        <w:rPr>
          <w:rFonts w:ascii="Times New Roman;serif" w:hAnsi="Times New Roman;serif"/>
          <w:b w:val="false"/>
          <w:color w:val="000000"/>
          <w:sz w:val="20"/>
        </w:rPr>
      </w:pPr>
      <w:r>
        <w:rPr>
          <w:rFonts w:ascii="Times New Roman;serif" w:hAnsi="Times New Roman;serif"/>
          <w:b w:val="false"/>
          <w:color w:val="000000"/>
          <w:sz w:val="20"/>
        </w:rPr>
        <w:t>10.Unlawfully discussing prices, costs, customers, sales, or markets with competing companies or their employees.</w:t>
      </w:r>
    </w:p>
    <w:p>
      <w:pPr>
        <w:pStyle w:val="TextBody"/>
        <w:bidi w:val="0"/>
        <w:spacing w:before="41" w:after="283"/>
        <w:jc w:val="left"/>
        <w:rPr/>
      </w:pPr>
      <w:r>
        <w:rPr/>
      </w:r>
    </w:p>
    <w:p>
      <w:pPr>
        <w:pStyle w:val="TextBody"/>
        <w:bidi w:val="0"/>
        <w:spacing w:lineRule="auto" w:line="288" w:before="1" w:after="283"/>
        <w:ind w:left="0" w:right="0" w:hanging="722"/>
        <w:jc w:val="left"/>
        <w:rPr>
          <w:rFonts w:ascii="Times New Roman;serif" w:hAnsi="Times New Roman;serif"/>
          <w:b w:val="false"/>
          <w:color w:val="000000"/>
          <w:sz w:val="20"/>
        </w:rPr>
      </w:pPr>
      <w:r>
        <w:rPr>
          <w:rFonts w:ascii="Times New Roman;serif" w:hAnsi="Times New Roman;serif"/>
          <w:b w:val="false"/>
          <w:color w:val="000000"/>
          <w:sz w:val="20"/>
        </w:rPr>
        <w:t>11.Making any unlawful agreement with distributors with respect to prices.</w:t>
      </w:r>
    </w:p>
    <w:p>
      <w:pPr>
        <w:pStyle w:val="TextBody"/>
        <w:bidi w:val="0"/>
        <w:spacing w:before="44" w:after="283"/>
        <w:jc w:val="left"/>
        <w:rPr/>
      </w:pPr>
      <w:r>
        <w:rPr/>
      </w:r>
    </w:p>
    <w:p>
      <w:pPr>
        <w:pStyle w:val="TextBody"/>
        <w:bidi w:val="0"/>
        <w:spacing w:lineRule="auto" w:line="283" w:before="0" w:after="0"/>
        <w:ind w:left="0" w:right="0" w:hanging="723"/>
        <w:jc w:val="both"/>
        <w:rPr>
          <w:rFonts w:ascii="Times New Roman;serif" w:hAnsi="Times New Roman;serif"/>
          <w:b w:val="false"/>
          <w:color w:val="000000"/>
          <w:sz w:val="20"/>
        </w:rPr>
      </w:pPr>
      <w:r>
        <w:rPr>
          <w:rFonts w:ascii="Times New Roman;serif" w:hAnsi="Times New Roman;serif"/>
          <w:b w:val="false"/>
          <w:color w:val="000000"/>
          <w:sz w:val="20"/>
        </w:rPr>
        <w:t>12.Improperly using or authorizing the use of any inventions that are the subject of patent claims of any other person or entity.</w:t>
      </w:r>
    </w:p>
    <w:p>
      <w:pPr>
        <w:pStyle w:val="TextBody"/>
        <w:bidi w:val="0"/>
        <w:spacing w:before="38" w:after="283"/>
        <w:jc w:val="left"/>
        <w:rPr/>
      </w:pPr>
      <w:r>
        <w:rPr/>
      </w:r>
    </w:p>
    <w:p>
      <w:pPr>
        <w:pStyle w:val="TextBody"/>
        <w:bidi w:val="0"/>
        <w:spacing w:lineRule="auto" w:line="288" w:before="0" w:after="0"/>
        <w:ind w:left="0" w:right="0" w:hanging="721"/>
        <w:jc w:val="both"/>
        <w:rPr>
          <w:rFonts w:ascii="Times New Roman;serif" w:hAnsi="Times New Roman;serif"/>
          <w:b w:val="false"/>
          <w:color w:val="000000"/>
          <w:sz w:val="20"/>
        </w:rPr>
      </w:pPr>
      <w:r>
        <w:rPr>
          <w:rFonts w:ascii="Times New Roman;serif" w:hAnsi="Times New Roman;serif"/>
          <w:b w:val="false"/>
          <w:color w:val="000000"/>
          <w:sz w:val="20"/>
        </w:rPr>
        <w:t>13.Engaging in any conduct that is not in the best interest of the Company.</w:t>
      </w:r>
    </w:p>
    <w:p>
      <w:pPr>
        <w:pStyle w:val="TextBody"/>
        <w:bidi w:val="0"/>
        <w:spacing w:lineRule="auto" w:line="285" w:before="12" w:after="283"/>
        <w:ind w:left="0" w:right="0" w:hanging="12"/>
        <w:jc w:val="both"/>
        <w:rPr>
          <w:rFonts w:ascii="Times New Roman;serif" w:hAnsi="Times New Roman;serif"/>
          <w:b w:val="false"/>
          <w:color w:val="000000"/>
          <w:sz w:val="20"/>
        </w:rPr>
      </w:pPr>
      <w:r>
        <w:rPr>
          <w:rFonts w:ascii="Times New Roman;serif" w:hAnsi="Times New Roman;serif"/>
          <w:b w:val="false"/>
          <w:color w:val="000000"/>
          <w:sz w:val="20"/>
        </w:rPr>
        <w:t>Each officer, employee, and independent contractor must take every necessary action to ensure compliance with these guidelines and to bring problem areas to the attention of higher management for review. Violations of this conflict of interest policy may result in discharge without warning. I understand that nothing in this Agreement is intended to limit employees’ rights to discuss the terms, wages, and working conditions of their employment, as protected by applicable law.</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6480175" cy="175260"/>
                <wp:effectExtent l="0" t="0" r="0" b="0"/>
                <wp:wrapNone/>
                <wp:docPr id="220" name="Frame2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89" w:after="283"/>
        <w:ind w:left="0" w:right="0" w:hanging="443"/>
        <w:jc w:val="left"/>
        <w:rPr/>
      </w:pPr>
      <w:r>
        <w:rPr>
          <w:rFonts w:ascii="Times New Roman;serif" w:hAnsi="Times New Roman;serif"/>
          <w:b/>
          <w:color w:val="000000"/>
          <w:sz w:val="24"/>
          <w:u w:val="single"/>
        </w:rPr>
        <w:t>EXHIBIT D TO CONFIDENTIAL INFORMATION AND</w:t>
      </w:r>
      <w:r>
        <w:rPr>
          <w:color w:val="000000"/>
        </w:rPr>
        <w:t xml:space="preserve"> </w:t>
      </w:r>
      <w:r>
        <w:rPr>
          <w:rFonts w:ascii="Times New Roman;serif" w:hAnsi="Times New Roman;serif"/>
          <w:b/>
          <w:color w:val="000000"/>
          <w:sz w:val="24"/>
          <w:u w:val="single"/>
        </w:rPr>
        <w:t>INVENTION ASSIGNMENT AGREEMENT</w:t>
      </w:r>
    </w:p>
    <w:p>
      <w:pPr>
        <w:pStyle w:val="TextBody"/>
        <w:bidi w:val="0"/>
        <w:spacing w:before="0" w:after="0"/>
        <w:jc w:val="left"/>
        <w:rPr/>
      </w:pPr>
      <w:r>
        <w:rPr/>
      </w:r>
    </w:p>
    <w:p>
      <w:pPr>
        <w:pStyle w:val="TextBody"/>
        <w:bidi w:val="0"/>
        <w:spacing w:before="249" w:after="283"/>
        <w:jc w:val="left"/>
        <w:rPr/>
      </w:pPr>
      <w:r>
        <w:rPr/>
      </w:r>
    </w:p>
    <w:p>
      <w:pPr>
        <w:pStyle w:val="TextBody"/>
        <w:bidi w:val="0"/>
        <w:spacing w:lineRule="auto" w:line="288" w:before="0" w:after="0"/>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Compensated Board of Directors positions:</w:t>
      </w:r>
    </w:p>
    <w:p>
      <w:pPr>
        <w:pStyle w:val="TextBody"/>
        <w:bidi w:val="0"/>
        <w:spacing w:lineRule="auto" w:line="288" w:before="182" w:after="283"/>
        <w:ind w:left="0" w:right="0" w:hanging="487"/>
        <w:jc w:val="left"/>
        <w:rPr>
          <w:rFonts w:ascii="Times New Roman;serif" w:hAnsi="Times New Roman;serif"/>
          <w:b w:val="false"/>
          <w:color w:val="000000"/>
          <w:sz w:val="24"/>
        </w:rPr>
      </w:pPr>
      <w:r>
        <w:rPr>
          <w:rFonts w:ascii="Times New Roman;serif" w:hAnsi="Times New Roman;serif"/>
          <w:b w:val="false"/>
          <w:color w:val="000000"/>
          <w:sz w:val="24"/>
        </w:rPr>
        <w:t>i.Brex Inc.</w:t>
      </w:r>
    </w:p>
    <w:p>
      <w:pPr>
        <w:pStyle w:val="TextBody"/>
        <w:bidi w:val="0"/>
        <w:spacing w:lineRule="auto" w:line="288" w:before="22" w:after="283"/>
        <w:ind w:left="0" w:right="0" w:hanging="554"/>
        <w:jc w:val="left"/>
        <w:rPr>
          <w:rFonts w:ascii="Times New Roman;serif" w:hAnsi="Times New Roman;serif"/>
          <w:b w:val="false"/>
          <w:color w:val="000000"/>
          <w:sz w:val="24"/>
        </w:rPr>
      </w:pPr>
      <w:r>
        <w:rPr>
          <w:rFonts w:ascii="Times New Roman;serif" w:hAnsi="Times New Roman;serif"/>
          <w:b w:val="false"/>
          <w:color w:val="000000"/>
          <w:sz w:val="24"/>
        </w:rPr>
        <w:t>ii.Cherry Technologies Inc.</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Angel investor advisory positions, none with formal time requirements:</w:t>
      </w:r>
    </w:p>
    <w:p>
      <w:pPr>
        <w:pStyle w:val="TextBody"/>
        <w:bidi w:val="0"/>
        <w:spacing w:lineRule="auto" w:line="288" w:before="183" w:after="283"/>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1.Altir Industries, Inc.</w:t>
      </w:r>
    </w:p>
    <w:p>
      <w:pPr>
        <w:pStyle w:val="TextBody"/>
        <w:bidi w:val="0"/>
        <w:spacing w:lineRule="auto" w:line="288" w:before="21" w:after="283"/>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2.Arcana Analytics</w:t>
      </w:r>
    </w:p>
    <w:p>
      <w:pPr>
        <w:pStyle w:val="TextBody"/>
        <w:bidi w:val="0"/>
        <w:spacing w:lineRule="auto" w:line="288" w:before="23" w:after="283"/>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3.Atlas Exploration, Inc.</w:t>
      </w:r>
    </w:p>
    <w:p>
      <w:pPr>
        <w:pStyle w:val="TextBody"/>
        <w:bidi w:val="0"/>
        <w:spacing w:lineRule="auto" w:line="288" w:before="21" w:after="283"/>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4.Backpack Payment Technologies, Inc.</w:t>
      </w:r>
    </w:p>
    <w:p>
      <w:pPr>
        <w:pStyle w:val="TextBody"/>
        <w:bidi w:val="0"/>
        <w:spacing w:lineRule="auto" w:line="288" w:before="22" w:after="283"/>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5.CarPutty Inc.</w:t>
      </w:r>
    </w:p>
    <w:p>
      <w:pPr>
        <w:pStyle w:val="TextBody"/>
        <w:bidi w:val="0"/>
        <w:spacing w:lineRule="auto" w:line="288" w:before="24" w:after="283"/>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6.Honest Networks LLC</w:t>
      </w:r>
    </w:p>
    <w:p>
      <w:pPr>
        <w:pStyle w:val="TextBody"/>
        <w:bidi w:val="0"/>
        <w:spacing w:lineRule="auto" w:line="288" w:before="22" w:after="283"/>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7.Lunchbox Technologies Inc.</w:t>
      </w:r>
    </w:p>
    <w:p>
      <w:pPr>
        <w:pStyle w:val="TextBody"/>
        <w:bidi w:val="0"/>
        <w:spacing w:lineRule="auto" w:line="288" w:before="21" w:after="283"/>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8.Shelton AI, Inc.</w:t>
      </w:r>
    </w:p>
    <w:p>
      <w:pPr>
        <w:pStyle w:val="TextBody"/>
        <w:bidi w:val="0"/>
        <w:spacing w:lineRule="auto" w:line="288" w:before="22" w:after="283"/>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9.Slope Tech Inc.</w:t>
      </w:r>
    </w:p>
    <w:p>
      <w:pPr>
        <w:pStyle w:val="TextBody"/>
        <w:bidi w:val="0"/>
        <w:spacing w:lineRule="auto" w:line="288" w:before="21" w:after="283"/>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10.Tenet Energy Inc.</w:t>
      </w:r>
    </w:p>
    <w:p>
      <w:pPr>
        <w:pStyle w:val="TextBody"/>
        <w:bidi w:val="0"/>
        <w:spacing w:lineRule="auto" w:line="288" w:before="22" w:after="283"/>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11.Vise Inc.</w:t>
      </w:r>
    </w:p>
    <w:p>
      <w:pPr>
        <w:pStyle w:val="TextBody"/>
        <w:bidi w:val="0"/>
        <w:ind w:left="0" w:right="0" w:firstLine="71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6480175" cy="175260"/>
                <wp:effectExtent l="0" t="0" r="0" b="0"/>
                <wp:wrapNone/>
                <wp:docPr id="221" name="Frame2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firstLine="71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89" w:after="283"/>
        <w:jc w:val="center"/>
        <w:rPr>
          <w:rFonts w:ascii="Times New Roman;serif" w:hAnsi="Times New Roman;serif"/>
          <w:b/>
          <w:color w:val="000000"/>
          <w:sz w:val="24"/>
        </w:rPr>
      </w:pPr>
      <w:r>
        <w:rPr>
          <w:rFonts w:ascii="Times New Roman;serif" w:hAnsi="Times New Roman;serif"/>
          <w:b/>
          <w:color w:val="000000"/>
          <w:sz w:val="24"/>
        </w:rPr>
        <w:t>Exhibit 2</w:t>
      </w:r>
    </w:p>
    <w:p>
      <w:pPr>
        <w:pStyle w:val="TextBody"/>
        <w:bidi w:val="0"/>
        <w:spacing w:before="98" w:after="283"/>
        <w:jc w:val="left"/>
        <w:rPr/>
      </w:pPr>
      <w:r>
        <w:rPr/>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MUTUAL AGREEMENT TO ARBITRATE</w:t>
      </w:r>
    </w:p>
    <w:p>
      <w:pPr>
        <w:pStyle w:val="TextBody"/>
        <w:bidi w:val="0"/>
        <w:spacing w:lineRule="auto" w:line="285" w:before="79" w:after="283"/>
        <w:ind w:left="0" w:right="0" w:firstLine="720"/>
        <w:jc w:val="both"/>
        <w:rPr/>
      </w:pPr>
      <w:r>
        <w:rPr>
          <w:rFonts w:ascii="Times New Roman;serif" w:hAnsi="Times New Roman;serif"/>
          <w:b w:val="false"/>
          <w:color w:val="000000"/>
          <w:sz w:val="20"/>
        </w:rPr>
        <w:t xml:space="preserve">I recognize that differences may arise between FT Intermediate, Inc. (collectively with </w:t>
      </w:r>
      <w:r>
        <w:rPr>
          <w:rFonts w:ascii="Times New Roman;serif" w:hAnsi="Times New Roman;serif"/>
          <w:b w:val="false"/>
          <w:color w:val="000000"/>
          <w:sz w:val="21"/>
        </w:rPr>
        <w:t xml:space="preserve">its subsidiaries, affiliates, successors or assigns, “Figure” or </w:t>
      </w:r>
      <w:r>
        <w:rPr>
          <w:rFonts w:ascii="Times New Roman;serif" w:hAnsi="Times New Roman;serif"/>
          <w:b w:val="false"/>
          <w:color w:val="000000"/>
          <w:sz w:val="20"/>
        </w:rPr>
        <w:t>the “Company”) and me during or following my employment with the Company. In consideration of my employment or my continued employment with the Company, its promise to arbitrate all employment-related disputes, and my receipt of the compensation, pay raises, and other benefits paid to me by the Company, at present and in the future, I agree that any and all controversies, claims, or disputes with the Company (including, without limitation, any employee, officer, director, shareholder, or benefit plan of the Company, in their capacity as such or otherwise), arising out of, relating to, or resulting from my employment with the Company or the termination of my employment with the Company, including any breach of this Mutual Agreement to Arbitrate (this “Arbitration Agreement”), shall be subject to binding arbitration Both parties agree that the Company is engaged in interstate commerce and that this Arbitration Agreement is enforceable under the Federal Arbitration Act, 9 U.S.C. §1 et seq. (the “FAA”). If the FAA is found not to apply, then this Arbitration Agreement is enforceable under the laws of the state in which I was assigned to work for Figure at the time I received this Arbitration Agreement. However, both parties agree that there will be no right to bring any dispute covered by this Arbitration Agreement as a class or collective action, as specified in Paragraph 3 below.</w:t>
      </w:r>
    </w:p>
    <w:p>
      <w:pPr>
        <w:pStyle w:val="TextBody"/>
        <w:bidi w:val="0"/>
        <w:spacing w:before="32" w:after="283"/>
        <w:jc w:val="left"/>
        <w:rPr/>
      </w:pPr>
      <w:r>
        <w:rPr/>
      </w:r>
    </w:p>
    <w:p>
      <w:pPr>
        <w:pStyle w:val="TextBody"/>
        <w:bidi w:val="0"/>
        <w:spacing w:lineRule="auto" w:line="295" w:before="0" w:after="0"/>
        <w:ind w:left="0" w:right="0" w:firstLine="662"/>
        <w:jc w:val="both"/>
        <w:rPr/>
      </w:pPr>
      <w:r>
        <w:rPr>
          <w:rFonts w:ascii="Times New Roman;serif" w:hAnsi="Times New Roman;serif"/>
          <w:b w:val="false"/>
          <w:color w:val="000000"/>
          <w:sz w:val="20"/>
        </w:rPr>
        <w:t>1.</w:t>
      </w:r>
      <w:r>
        <w:rPr>
          <w:rFonts w:ascii="Times New Roman;serif" w:hAnsi="Times New Roman;serif"/>
          <w:b/>
          <w:color w:val="000000"/>
          <w:sz w:val="20"/>
          <w:u w:val="single"/>
        </w:rPr>
        <w:t>Parties:</w:t>
      </w:r>
      <w:r>
        <w:rPr>
          <w:color w:val="000000"/>
        </w:rPr>
        <w:t xml:space="preserve"> </w:t>
      </w:r>
      <w:r>
        <w:rPr>
          <w:rFonts w:ascii="Times New Roman;serif" w:hAnsi="Times New Roman;serif"/>
          <w:b w:val="false"/>
          <w:color w:val="000000"/>
          <w:sz w:val="20"/>
        </w:rPr>
        <w:t>The Parties involved in this Agreement are Figure, its officers, directors, agents, employees, parents, subsidiaries, and affiliated, successors and assigned entities (collectively, “Figure”), and myself (“Employee”). Figure and Employee are collectively referred to herein as the Parties.</w:t>
      </w:r>
    </w:p>
    <w:p>
      <w:pPr>
        <w:pStyle w:val="TextBody"/>
        <w:bidi w:val="0"/>
        <w:spacing w:before="25" w:after="283"/>
        <w:jc w:val="left"/>
        <w:rPr/>
      </w:pPr>
      <w:r>
        <w:rPr/>
      </w:r>
    </w:p>
    <w:p>
      <w:pPr>
        <w:pStyle w:val="TextBody"/>
        <w:bidi w:val="0"/>
        <w:spacing w:lineRule="auto" w:line="300" w:before="0" w:after="0"/>
        <w:ind w:left="0" w:right="0" w:firstLine="720"/>
        <w:jc w:val="both"/>
        <w:rPr/>
      </w:pPr>
      <w:r>
        <w:rPr>
          <w:rFonts w:ascii="Times New Roman;serif" w:hAnsi="Times New Roman;serif"/>
          <w:b w:val="false"/>
          <w:color w:val="000000"/>
          <w:sz w:val="20"/>
        </w:rPr>
        <w:t>2.</w:t>
      </w:r>
      <w:r>
        <w:rPr>
          <w:rFonts w:ascii="Times New Roman;serif" w:hAnsi="Times New Roman;serif"/>
          <w:b/>
          <w:color w:val="000000"/>
          <w:sz w:val="20"/>
          <w:u w:val="single"/>
        </w:rPr>
        <w:t>Claims Covered by this Agreement</w:t>
      </w:r>
      <w:r>
        <w:rPr>
          <w:rFonts w:ascii="Times New Roman;serif" w:hAnsi="Times New Roman;serif"/>
          <w:b w:val="false"/>
          <w:color w:val="000000"/>
          <w:sz w:val="20"/>
        </w:rPr>
        <w:t>: To the extent authorized by law, the Parties mutually agree to the resolution by binding arbitration of all claims or causes of action that the Employee may have against Figure, or Figure against Employee (collectively "claims") arising out of the employment relationship or the termination of the employment relationship. The claims covered by this Agreement include, but are not limited to, claims for breach of any contract or covenant (express or implied); tort claims; claims for discrimination (including, but not limited to, race, sex, gender, sexual harassment, or any type of unlawful harassment, religion, national origin, age, marital status, medical condition, disability or sexual orientation); claims for wrongful termination in violation of public policy; claims for retaliation; and, claims for violation of any law, statute, regulation or ordinance, including, but not limited to, all claims arising under Title VII of the Civil Rights Act of 1969, as amended, the Age Discrimination in Employment Act of 1967, the Americans with Disabilities Act, the Family and Medical Leave Act, the California Fair Employment &amp; Housing Act, the California Wage Orders and the California Labor Code (excepting only representative claims under PAGA), and the Fair Labor Standards Act. All claims for injunctive and/or other equitable relief shall be covered by this Agreement. However, the Parties retain the right to seek provisional injunctive relief in Court where appropriate to protect the Parties’ rights pending arbitration.</w:t>
      </w:r>
    </w:p>
    <w:p>
      <w:pPr>
        <w:pStyle w:val="TextBody"/>
        <w:bidi w:val="0"/>
        <w:spacing w:before="31" w:after="283"/>
        <w:jc w:val="left"/>
        <w:rPr/>
      </w:pPr>
      <w:r>
        <w:rPr/>
      </w:r>
    </w:p>
    <w:p>
      <w:pPr>
        <w:pStyle w:val="TextBody"/>
        <w:bidi w:val="0"/>
        <w:spacing w:lineRule="auto" w:line="285" w:before="0" w:after="0"/>
        <w:ind w:left="0" w:right="0" w:hanging="10"/>
        <w:jc w:val="both"/>
        <w:rPr>
          <w:rFonts w:ascii="Times New Roman;serif" w:hAnsi="Times New Roman;serif"/>
          <w:b w:val="false"/>
          <w:color w:val="000000"/>
          <w:sz w:val="20"/>
        </w:rPr>
      </w:pPr>
      <w:r>
        <w:rPr>
          <w:rFonts w:ascii="Times New Roman;serif" w:hAnsi="Times New Roman;serif"/>
          <w:b w:val="false"/>
          <w:color w:val="000000"/>
          <w:sz w:val="20"/>
        </w:rPr>
        <w:t>Nothing in this Agreement precludes Employee from filing a charge or from participating in an administrative investigation of a charge before an appropriate government agency such as the Equal Employment Opportunity Commission, the California Department of Fair Employment and Housing, the National Labor Relations Board or similar state agency. Nothing in this Arbitration Agreement alters any obligation or prerequisite to exhaust administrative remedies before asserting a claim in arbitration.</w:t>
      </w:r>
    </w:p>
    <w:p>
      <w:pPr>
        <w:pStyle w:val="TextBody"/>
        <w:bidi w:val="0"/>
        <w:spacing w:before="35" w:after="283"/>
        <w:jc w:val="left"/>
        <w:rPr/>
      </w:pPr>
      <w:r>
        <w:rPr/>
      </w:r>
    </w:p>
    <w:p>
      <w:pPr>
        <w:pStyle w:val="TextBody"/>
        <w:bidi w:val="0"/>
        <w:spacing w:lineRule="auto" w:line="285" w:before="0" w:after="0"/>
        <w:ind w:left="0" w:right="0" w:firstLine="720"/>
        <w:jc w:val="both"/>
        <w:rPr/>
      </w:pPr>
      <w:r>
        <w:rPr>
          <w:rFonts w:ascii="Times New Roman;serif" w:hAnsi="Times New Roman;serif"/>
          <w:b w:val="false"/>
          <w:color w:val="000000"/>
          <w:sz w:val="20"/>
        </w:rPr>
        <w:t>3.</w:t>
      </w:r>
      <w:r>
        <w:rPr>
          <w:rFonts w:ascii="Times New Roman;serif" w:hAnsi="Times New Roman;serif"/>
          <w:b/>
          <w:color w:val="000000"/>
          <w:sz w:val="20"/>
          <w:u w:val="single"/>
        </w:rPr>
        <w:t>Claims Not Covered by the Agreement:</w:t>
      </w:r>
      <w:r>
        <w:rPr>
          <w:color w:val="000000"/>
        </w:rPr>
        <w:t xml:space="preserve"> </w:t>
      </w:r>
      <w:r>
        <w:rPr>
          <w:rFonts w:ascii="Times New Roman;serif" w:hAnsi="Times New Roman;serif"/>
          <w:b w:val="false"/>
          <w:color w:val="000000"/>
          <w:sz w:val="20"/>
        </w:rPr>
        <w:t>This Agreement does not cover claims Employee may have for workers' compensation, unemployment compensation benefits, or any other claims found not subject to mandatory arbitration by governing law.</w:t>
      </w:r>
    </w:p>
    <w:p>
      <w:pPr>
        <w:pStyle w:val="TextBody"/>
        <w:bidi w:val="0"/>
        <w:spacing w:before="35" w:after="283"/>
        <w:jc w:val="left"/>
        <w:rPr/>
      </w:pPr>
      <w:r>
        <w:rPr/>
      </w:r>
    </w:p>
    <w:p>
      <w:pPr>
        <w:pStyle w:val="TextBody"/>
        <w:bidi w:val="0"/>
        <w:spacing w:lineRule="auto" w:line="288" w:before="0" w:after="0"/>
        <w:ind w:left="0" w:right="0" w:firstLine="782"/>
        <w:jc w:val="both"/>
        <w:rPr>
          <w:rFonts w:ascii="Times New Roman;serif" w:hAnsi="Times New Roman;serif"/>
          <w:b w:val="false"/>
          <w:color w:val="000000"/>
          <w:sz w:val="20"/>
        </w:rPr>
      </w:pPr>
      <w:r>
        <w:rPr>
          <w:rFonts w:ascii="Times New Roman;serif" w:hAnsi="Times New Roman;serif"/>
          <w:b w:val="false"/>
          <w:color w:val="000000"/>
          <w:sz w:val="20"/>
        </w:rPr>
        <w:t>Additionally, Figure and Employee agree that, to the full extent permitted by law, neither the Employee nor Figure shall have a right to: (a) arbitrate any claim on a class, collective, or purported representative basis, on behalf of any of Figure’s workers, employees, applicants or other persons similarly situated; (b) join or consolidate in any arbitration claims brought by or against another worker, employee, applicant or Figure, unless agreed to in writing by all parties; (c) litigate any claims in court or to have a jury trial on any claims covered by this Agreement; and/or (d) participate as a member of any class of claimants in an action in a court of law pertaining to any claims encompassed by this Agreement. In no circumstance shall an arbitrator have authority to preside over any claim on a collective, representative, or class basis. No remedies that would otherwise be available to the Parties individually in a court of law are being forfeited under this Agreement.</w:t>
      </w:r>
    </w:p>
    <w:p>
      <w:pPr>
        <w:pStyle w:val="TextBody"/>
        <w:bidi w:val="0"/>
        <w:spacing w:before="9" w:after="283"/>
        <w:jc w:val="left"/>
        <w:rPr/>
      </w:pPr>
      <w:r>
        <w:rPr/>
      </w:r>
    </w:p>
    <w:p>
      <w:pPr>
        <w:pStyle w:val="TextBody"/>
        <w:bidi w:val="0"/>
        <w:spacing w:lineRule="auto" w:line="285"/>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the event of a dispute between the parties that is determined to involve arbitrable claims and non-arbitrable claims, Figure and Employee agree that the arbitrable claims shall be resolved first in arbitration and the non-arbitrable </w:t>
      </w:r>
    </w:p>
    <w:p>
      <w:pPr>
        <w:pStyle w:val="TextBody"/>
        <w:bidi w:val="0"/>
        <w:spacing w:before="0" w:after="0"/>
        <w:jc w:val="left"/>
        <w:rPr/>
      </w:pPr>
      <w:r>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6480175" cy="175260"/>
                <wp:effectExtent l="0" t="0" r="0" b="0"/>
                <wp:wrapNone/>
                <wp:docPr id="222" name="Frame2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5" w:before="0" w:after="0"/>
        <w:jc w:val="both"/>
        <w:rPr>
          <w:rFonts w:ascii="Times New Roman;serif" w:hAnsi="Times New Roman;serif"/>
          <w:b w:val="false"/>
          <w:color w:val="000000"/>
          <w:sz w:val="20"/>
        </w:rPr>
      </w:pPr>
      <w:r>
        <w:rPr>
          <w:rFonts w:ascii="Times New Roman;serif" w:hAnsi="Times New Roman;serif"/>
          <w:b w:val="false"/>
          <w:color w:val="000000"/>
          <w:sz w:val="20"/>
        </w:rPr>
        <w:t>claims stayed pending completion of the arbitration. Any gateway disputes regarding the enforceability of this Agreement or whether a particular claim is subject to this Agreement shall be resolved by a court of law.</w:t>
      </w:r>
    </w:p>
    <w:p>
      <w:pPr>
        <w:pStyle w:val="TextBody"/>
        <w:bidi w:val="0"/>
        <w:spacing w:before="114" w:after="283"/>
        <w:jc w:val="left"/>
        <w:rPr/>
      </w:pPr>
      <w:r>
        <w:rPr/>
      </w:r>
    </w:p>
    <w:p>
      <w:pPr>
        <w:pStyle w:val="TextBody"/>
        <w:bidi w:val="0"/>
        <w:spacing w:lineRule="auto" w:line="285" w:before="1" w:after="283"/>
        <w:ind w:left="0" w:right="0" w:firstLine="720"/>
        <w:jc w:val="both"/>
        <w:rPr/>
      </w:pPr>
      <w:r>
        <w:rPr>
          <w:rFonts w:ascii="Times New Roman;serif" w:hAnsi="Times New Roman;serif"/>
          <w:b w:val="false"/>
          <w:color w:val="000000"/>
          <w:sz w:val="20"/>
        </w:rPr>
        <w:t>4.</w:t>
      </w:r>
      <w:r>
        <w:rPr>
          <w:rFonts w:ascii="Times New Roman;serif" w:hAnsi="Times New Roman;serif"/>
          <w:b/>
          <w:color w:val="000000"/>
          <w:sz w:val="20"/>
          <w:u w:val="single"/>
        </w:rPr>
        <w:t>Required Notice of All Claims</w:t>
      </w:r>
      <w:r>
        <w:rPr>
          <w:rFonts w:ascii="Times New Roman;serif" w:hAnsi="Times New Roman;serif"/>
          <w:b w:val="false"/>
          <w:color w:val="000000"/>
          <w:sz w:val="20"/>
        </w:rPr>
        <w:t>: The party seeking to raise any claim(s) under this Agreement must file and serve a demand for arbitration describing the nature of the claims asserted and the facts upon which those claims are based, within the statute of limitations period applicable to the claim(s). The Parties may mutually agree to participate in mediation in an effort to resolve the dispute prior to arbitration. If the Parties agree to mediate prior to a demand for arbitration being filed, the Parties agree that the statute of limitations shall be tolled pending completion of the mediation.</w:t>
      </w:r>
    </w:p>
    <w:p>
      <w:pPr>
        <w:pStyle w:val="TextBody"/>
        <w:bidi w:val="0"/>
        <w:spacing w:lineRule="auto" w:line="288" w:before="220" w:after="283"/>
        <w:jc w:val="left"/>
        <w:rPr>
          <w:rFonts w:ascii="Times New Roman;serif" w:hAnsi="Times New Roman;serif"/>
          <w:b w:val="false"/>
          <w:color w:val="000000"/>
          <w:sz w:val="20"/>
        </w:rPr>
      </w:pPr>
      <w:r>
        <w:rPr>
          <w:rFonts w:ascii="Times New Roman;serif" w:hAnsi="Times New Roman;serif"/>
          <w:b w:val="false"/>
          <w:color w:val="000000"/>
          <w:sz w:val="20"/>
        </w:rPr>
        <w:t>Any Notice of Claim shall be provided to Figure at the following address:</w:t>
      </w:r>
    </w:p>
    <w:p>
      <w:pPr>
        <w:pStyle w:val="TextBody"/>
        <w:bidi w:val="0"/>
        <w:spacing w:lineRule="auto" w:line="288" w:before="226" w:after="283"/>
        <w:jc w:val="left"/>
        <w:rPr>
          <w:rFonts w:ascii="Times New Roman;serif" w:hAnsi="Times New Roman;serif"/>
          <w:b w:val="false"/>
          <w:color w:val="000000"/>
          <w:sz w:val="20"/>
        </w:rPr>
      </w:pPr>
      <w:r>
        <w:rPr>
          <w:rFonts w:ascii="Times New Roman;serif" w:hAnsi="Times New Roman;serif"/>
          <w:b w:val="false"/>
          <w:color w:val="000000"/>
          <w:sz w:val="20"/>
        </w:rPr>
        <w:t>Figure</w:t>
      </w:r>
    </w:p>
    <w:p>
      <w:pPr>
        <w:pStyle w:val="TextBody"/>
        <w:bidi w:val="0"/>
        <w:spacing w:lineRule="auto" w:line="292" w:before="12" w:after="283"/>
        <w:jc w:val="left"/>
        <w:rPr>
          <w:rFonts w:ascii="Times New Roman;serif" w:hAnsi="Times New Roman;serif"/>
          <w:b w:val="false"/>
          <w:color w:val="000000"/>
          <w:sz w:val="20"/>
        </w:rPr>
      </w:pPr>
      <w:r>
        <w:rPr>
          <w:rFonts w:ascii="Times New Roman;serif" w:hAnsi="Times New Roman;serif"/>
          <w:b w:val="false"/>
          <w:color w:val="000000"/>
          <w:sz w:val="20"/>
        </w:rPr>
        <w:t>Attn: Douglas Burns, Chief People Officer 650 California Street, Suite 2700</w:t>
      </w:r>
    </w:p>
    <w:p>
      <w:pPr>
        <w:pStyle w:val="TextBody"/>
        <w:bidi w:val="0"/>
        <w:spacing w:lineRule="atLeast" w:line="229" w:before="0" w:after="0"/>
        <w:jc w:val="left"/>
        <w:rPr>
          <w:rFonts w:ascii="Times New Roman;serif" w:hAnsi="Times New Roman;serif"/>
          <w:b w:val="false"/>
          <w:color w:val="000000"/>
          <w:sz w:val="20"/>
        </w:rPr>
      </w:pPr>
      <w:r>
        <w:rPr>
          <w:rFonts w:ascii="Times New Roman;serif" w:hAnsi="Times New Roman;serif"/>
          <w:b w:val="false"/>
          <w:color w:val="000000"/>
          <w:sz w:val="20"/>
        </w:rPr>
        <w:t>San Francisco, CA 94108</w:t>
      </w:r>
    </w:p>
    <w:p>
      <w:pPr>
        <w:pStyle w:val="TextBody"/>
        <w:bidi w:val="0"/>
        <w:spacing w:before="58" w:after="283"/>
        <w:jc w:val="left"/>
        <w:rPr/>
      </w:pPr>
      <w:r>
        <w:rPr/>
      </w:r>
    </w:p>
    <w:p>
      <w:pPr>
        <w:pStyle w:val="TextBody"/>
        <w:bidi w:val="0"/>
        <w:spacing w:lineRule="auto" w:line="283"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Any Notice of Claim shall be provided to Employee at the most updated address contained in Employee’s personnel file, unless otherwise designated by Employee.</w:t>
      </w:r>
    </w:p>
    <w:p>
      <w:pPr>
        <w:pStyle w:val="TextBody"/>
        <w:bidi w:val="0"/>
        <w:spacing w:before="38" w:after="283"/>
        <w:jc w:val="left"/>
        <w:rPr/>
      </w:pPr>
      <w:r>
        <w:rPr/>
      </w:r>
    </w:p>
    <w:p>
      <w:pPr>
        <w:pStyle w:val="TextBody"/>
        <w:bidi w:val="0"/>
        <w:spacing w:lineRule="auto" w:line="288" w:before="0" w:after="0"/>
        <w:ind w:left="0" w:right="0" w:hanging="205"/>
        <w:jc w:val="left"/>
        <w:rPr/>
      </w:pPr>
      <w:r>
        <w:rPr>
          <w:rFonts w:ascii="Times New Roman;serif" w:hAnsi="Times New Roman;serif"/>
          <w:b w:val="false"/>
          <w:color w:val="000000"/>
          <w:sz w:val="20"/>
        </w:rPr>
        <w:t>5.</w:t>
      </w:r>
      <w:r>
        <w:rPr>
          <w:rFonts w:ascii="Times New Roman;serif" w:hAnsi="Times New Roman;serif"/>
          <w:b/>
          <w:color w:val="000000"/>
          <w:sz w:val="20"/>
          <w:u w:val="single"/>
        </w:rPr>
        <w:t>Arbitration Procedures</w:t>
      </w:r>
      <w:r>
        <w:rPr>
          <w:rFonts w:ascii="Times New Roman;serif" w:hAnsi="Times New Roman;serif"/>
          <w:b w:val="false"/>
          <w:color w:val="000000"/>
          <w:sz w:val="20"/>
        </w:rPr>
        <w:t>:</w:t>
      </w:r>
    </w:p>
    <w:p>
      <w:pPr>
        <w:pStyle w:val="TextBody"/>
        <w:bidi w:val="0"/>
        <w:spacing w:before="52" w:after="283"/>
        <w:jc w:val="left"/>
        <w:rPr/>
      </w:pPr>
      <w:r>
        <w:rPr/>
      </w:r>
    </w:p>
    <w:p>
      <w:pPr>
        <w:pStyle w:val="TextBody"/>
        <w:bidi w:val="0"/>
        <w:spacing w:lineRule="auto" w:line="288" w:before="0" w:after="0"/>
        <w:ind w:left="0" w:right="0" w:hanging="1010"/>
        <w:jc w:val="left"/>
        <w:rPr>
          <w:rFonts w:ascii="Times New Roman;serif" w:hAnsi="Times New Roman;serif"/>
          <w:b w:val="false"/>
          <w:color w:val="000000"/>
          <w:sz w:val="20"/>
        </w:rPr>
      </w:pPr>
      <w:r>
        <w:rPr>
          <w:rFonts w:ascii="Times New Roman;serif" w:hAnsi="Times New Roman;serif"/>
          <w:b w:val="false"/>
          <w:color w:val="000000"/>
          <w:sz w:val="20"/>
        </w:rPr>
        <w:t>(a)Applicable Rules</w:t>
      </w:r>
    </w:p>
    <w:p>
      <w:pPr>
        <w:pStyle w:val="TextBody"/>
        <w:bidi w:val="0"/>
        <w:spacing w:before="40" w:after="283"/>
        <w:jc w:val="left"/>
        <w:rPr/>
      </w:pPr>
      <w:r>
        <w:rPr/>
      </w:r>
    </w:p>
    <w:p>
      <w:pPr>
        <w:pStyle w:val="TextBody"/>
        <w:bidi w:val="0"/>
        <w:spacing w:lineRule="auto" w:line="273" w:before="0" w:after="0"/>
        <w:ind w:left="0" w:right="0" w:firstLine="720"/>
        <w:jc w:val="left"/>
        <w:rPr/>
      </w:pPr>
      <w:r>
        <w:rPr>
          <w:rFonts w:ascii="Times New Roman;serif" w:hAnsi="Times New Roman;serif"/>
          <w:b w:val="false"/>
          <w:color w:val="000000"/>
          <w:sz w:val="20"/>
        </w:rPr>
        <w:t xml:space="preserve">Any arbitration under this Agreement shall be conducted pursuant to the Employment Arbitration Rules of JAMS (“JAMS Rules”). These Rules are available for review on JAMS’ website at </w:t>
      </w:r>
      <w:r>
        <w:rPr>
          <w:rFonts w:ascii="Times New Roman;serif" w:hAnsi="Times New Roman;serif"/>
          <w:b w:val="false"/>
          <w:color w:val="000000"/>
          <w:sz w:val="20"/>
          <w:u w:val="single"/>
        </w:rPr>
        <w:t>www.jamsadr.com/rules-employment-arbitration</w:t>
      </w:r>
      <w:r>
        <w:rPr>
          <w:rFonts w:ascii="Times New Roman;serif" w:hAnsi="Times New Roman;serif"/>
          <w:b w:val="false"/>
          <w:color w:val="000000"/>
          <w:sz w:val="20"/>
        </w:rPr>
        <w:t>. A copy will also be provided upon request to Human Resources. The arbitration shall take place at the JAMS office in the metropolitan area where the Employee works or worked for Figure, unless the Parties mutually agree to conduct the arbitration elsewhere. If there is any discrepancy between the JAMS Rules and this Agreement, this Agreement shall prevail.</w:t>
      </w:r>
    </w:p>
    <w:p>
      <w:pPr>
        <w:pStyle w:val="TextBody"/>
        <w:bidi w:val="0"/>
        <w:spacing w:before="32" w:after="283"/>
        <w:jc w:val="left"/>
        <w:rPr/>
      </w:pPr>
      <w:r>
        <w:rPr/>
      </w:r>
    </w:p>
    <w:p>
      <w:pPr>
        <w:pStyle w:val="TextBody"/>
        <w:bidi w:val="0"/>
        <w:spacing w:lineRule="auto" w:line="288" w:before="0" w:after="0"/>
        <w:ind w:left="0" w:right="0" w:hanging="1010"/>
        <w:jc w:val="left"/>
        <w:rPr>
          <w:rFonts w:ascii="Times New Roman;serif" w:hAnsi="Times New Roman;serif"/>
          <w:b w:val="false"/>
          <w:color w:val="000000"/>
          <w:sz w:val="20"/>
        </w:rPr>
      </w:pPr>
      <w:r>
        <w:rPr>
          <w:rFonts w:ascii="Times New Roman;serif" w:hAnsi="Times New Roman;serif"/>
          <w:b w:val="false"/>
          <w:color w:val="000000"/>
          <w:sz w:val="20"/>
        </w:rPr>
        <w:t>(b)Selection of Neutral Arbitrator and Scope of Authority</w:t>
      </w:r>
    </w:p>
    <w:p>
      <w:pPr>
        <w:pStyle w:val="TextBody"/>
        <w:bidi w:val="0"/>
        <w:spacing w:before="42" w:after="283"/>
        <w:jc w:val="left"/>
        <w:rPr/>
      </w:pPr>
      <w:r>
        <w:rPr/>
      </w:r>
    </w:p>
    <w:p>
      <w:pPr>
        <w:pStyle w:val="TextBody"/>
        <w:bidi w:val="0"/>
        <w:spacing w:lineRule="auto" w:line="285"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arbitrator shall be a neutral arbitrator, selected by the agreement of the parties, who has previous experience arbitrating California employment law disputes. If the parties cannot agree on a neutral arbitrator, Employee and Figure will use the strike and ranking method provided for under JAMS rules.</w:t>
      </w:r>
    </w:p>
    <w:p>
      <w:pPr>
        <w:pStyle w:val="TextBody"/>
        <w:bidi w:val="0"/>
        <w:spacing w:before="36" w:after="283"/>
        <w:jc w:val="left"/>
        <w:rPr/>
      </w:pPr>
      <w:r>
        <w:rPr/>
      </w:r>
    </w:p>
    <w:p>
      <w:pPr>
        <w:pStyle w:val="TextBody"/>
        <w:bidi w:val="0"/>
        <w:spacing w:lineRule="auto" w:line="288" w:before="0" w:after="0"/>
        <w:ind w:left="0" w:right="0" w:firstLine="737"/>
        <w:jc w:val="left"/>
        <w:rPr>
          <w:rFonts w:ascii="Times New Roman;serif" w:hAnsi="Times New Roman;serif"/>
          <w:b w:val="false"/>
          <w:color w:val="000000"/>
          <w:sz w:val="20"/>
        </w:rPr>
      </w:pPr>
      <w:r>
        <w:rPr>
          <w:rFonts w:ascii="Times New Roman;serif" w:hAnsi="Times New Roman;serif"/>
          <w:b w:val="false"/>
          <w:color w:val="000000"/>
          <w:sz w:val="20"/>
        </w:rPr>
        <w:t>The interpretation and enforceability of this Agreement shall be governed by the Federal Arbitration Act. The arbitrator shall apply the applicable statute of limitations to all claims covered under this Agreement. The arbitrator shall apply the substantive state or federal law (and the law of remedies, if applicable) as applicable to the claim(s) asserted that</w:t>
      </w:r>
    </w:p>
    <w:p>
      <w:pPr>
        <w:pStyle w:val="TextBody"/>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would otherwise be available in a court of law. Furthermore, the parties shall have the right to file dispositive motions such as motions for summary judgment or summary adjudication.</w:t>
      </w:r>
    </w:p>
    <w:p>
      <w:pPr>
        <w:pStyle w:val="TextBody"/>
        <w:bidi w:val="0"/>
        <w:spacing w:before="33" w:after="283"/>
        <w:jc w:val="left"/>
        <w:rPr/>
      </w:pPr>
      <w:r>
        <w:rPr/>
      </w:r>
    </w:p>
    <w:p>
      <w:pPr>
        <w:pStyle w:val="TextBody"/>
        <w:bidi w:val="0"/>
        <w:spacing w:lineRule="auto" w:line="288" w:before="1" w:after="283"/>
        <w:ind w:left="0" w:right="0" w:hanging="1010"/>
        <w:jc w:val="left"/>
        <w:rPr>
          <w:rFonts w:ascii="Times New Roman;serif" w:hAnsi="Times New Roman;serif"/>
          <w:b w:val="false"/>
          <w:color w:val="000000"/>
          <w:sz w:val="20"/>
        </w:rPr>
      </w:pPr>
      <w:r>
        <w:rPr>
          <w:rFonts w:ascii="Times New Roman;serif" w:hAnsi="Times New Roman;serif"/>
          <w:b w:val="false"/>
          <w:color w:val="000000"/>
          <w:sz w:val="20"/>
        </w:rPr>
        <w:t>(c)Discovery</w:t>
      </w:r>
    </w:p>
    <w:p>
      <w:pPr>
        <w:pStyle w:val="TextBody"/>
        <w:bidi w:val="0"/>
        <w:spacing w:before="40" w:after="283"/>
        <w:jc w:val="left"/>
        <w:rPr/>
      </w:pPr>
      <w:r>
        <w:rPr/>
      </w:r>
    </w:p>
    <w:p>
      <w:pPr>
        <w:pStyle w:val="TextBody"/>
        <w:bidi w:val="0"/>
        <w:spacing w:lineRule="auto" w:line="273"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Parties agree that reasonable discovery is essential to the just resolution of any claims which may be covered by this Agreement. Accordingly, nothing in this Agreement or in the JAMS Rules shall be interpreted to limit the Parties' rights to reasonable discovery. Rather, reasonable discovery shall be allowed that is sufficient to ensure the adequate</w:t>
      </w:r>
    </w:p>
    <w:p>
      <w:pPr>
        <w:pStyle w:val="TextBody"/>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arbitration of any claims covered by this Agreement. Generally, the Parties agree that reasonable discovery means up to three depositions per side, one set of requests for production of documents with up to 35 requests, and one set of interrogatories with up to 25 requests. In the event that the Parties believe this scope of discovery is inadequate, the Parties shall meet and confer and try to reach agreement on the scope of discovery and the arbitrator shall have discretion to resolve any disagreement concerning the scope of discovery and to allow discovery determined by the arbitrator to be</w:t>
      </w:r>
    </w:p>
    <w:p>
      <w:pPr>
        <w:pStyle w:val="TextBody"/>
        <w:bidi w:val="0"/>
        <w:spacing w:lineRule="atLeast" w:line="228" w:before="0" w:after="0"/>
        <w:jc w:val="left"/>
        <w:rPr>
          <w:rFonts w:ascii="Times New Roman;serif" w:hAnsi="Times New Roman;serif"/>
          <w:b w:val="false"/>
          <w:color w:val="000000"/>
          <w:sz w:val="20"/>
        </w:rPr>
      </w:pPr>
      <w:r>
        <w:rPr>
          <w:rFonts w:ascii="Times New Roman;serif" w:hAnsi="Times New Roman;serif"/>
          <w:b w:val="false"/>
          <w:color w:val="000000"/>
          <w:sz w:val="20"/>
        </w:rPr>
        <w:t>reasonably necessary to the just resolution of the dispute considering the streamlined nature and purpose of arbitration.</w:t>
      </w:r>
    </w:p>
    <w:p>
      <w:pPr>
        <w:pStyle w:val="TextBody"/>
        <w:bidi w:val="0"/>
        <w:spacing w:before="30" w:after="283"/>
        <w:jc w:val="left"/>
        <w:rPr/>
      </w:pPr>
      <w:r>
        <w:rPr/>
      </w:r>
    </w:p>
    <w:p>
      <w:pPr>
        <w:pStyle w:val="TextBody"/>
        <w:bidi w:val="0"/>
        <w:spacing w:lineRule="auto" w:line="288" w:before="0" w:after="0"/>
        <w:ind w:left="0" w:right="0" w:hanging="1010"/>
        <w:jc w:val="left"/>
        <w:rPr>
          <w:rFonts w:ascii="Times New Roman;serif" w:hAnsi="Times New Roman;serif"/>
          <w:b w:val="false"/>
          <w:color w:val="000000"/>
          <w:sz w:val="20"/>
        </w:rPr>
      </w:pPr>
      <w:r>
        <w:rPr>
          <w:rFonts w:ascii="Times New Roman;serif" w:hAnsi="Times New Roman;serif"/>
          <w:b w:val="false"/>
          <w:color w:val="000000"/>
          <w:sz w:val="20"/>
        </w:rPr>
        <w:t>(d)Written Opinion and Award</w:t>
      </w:r>
    </w:p>
    <w:p>
      <w:pPr>
        <w:pStyle w:val="TextBody"/>
        <w:bidi w:val="0"/>
        <w:spacing w:before="42" w:after="283"/>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neutral arbitrator shall issue a written opinion and award, which shall be signed and dated. The arbitrator's</w:t>
      </w:r>
    </w:p>
    <w:p>
      <w:pPr>
        <w:pStyle w:val="TextBody"/>
        <w:bidi w:val="0"/>
        <w:spacing w:lineRule="auto" w:line="273" w:before="9" w:after="283"/>
        <w:ind w:left="0" w:right="0" w:hanging="12"/>
        <w:jc w:val="left"/>
        <w:rPr>
          <w:rFonts w:ascii="Times New Roman;serif" w:hAnsi="Times New Roman;serif"/>
          <w:b w:val="false"/>
          <w:color w:val="000000"/>
          <w:sz w:val="20"/>
        </w:rPr>
      </w:pPr>
      <w:r>
        <w:rPr>
          <w:rFonts w:ascii="Times New Roman;serif" w:hAnsi="Times New Roman;serif"/>
          <w:b w:val="false"/>
          <w:color w:val="000000"/>
          <w:sz w:val="20"/>
        </w:rPr>
        <w:t>decision regarding the claims shall be final and binding upon the Parties. The arbitrator's award shall be enforceable in any court having proper jurisdiction. The Parties' appeal rights are governed by the Federal Arbitration Act and, where applicable, the California Arbitration Act.</w:t>
      </w:r>
    </w:p>
    <w:p>
      <w:pPr>
        <w:pStyle w:val="TextBody"/>
        <w:bidi w:val="0"/>
        <w:spacing w:before="33"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6480175" cy="175260"/>
                <wp:effectExtent l="0" t="0" r="0" b="0"/>
                <wp:wrapNone/>
                <wp:docPr id="223" name="Frame2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hanging="1010"/>
        <w:jc w:val="left"/>
        <w:rPr>
          <w:rFonts w:ascii="Times New Roman;serif" w:hAnsi="Times New Roman;serif"/>
          <w:b w:val="false"/>
          <w:color w:val="000000"/>
          <w:sz w:val="20"/>
        </w:rPr>
      </w:pPr>
      <w:r>
        <w:rPr>
          <w:rFonts w:ascii="Times New Roman;serif" w:hAnsi="Times New Roman;serif"/>
          <w:b w:val="false"/>
          <w:color w:val="000000"/>
          <w:sz w:val="20"/>
        </w:rPr>
        <w:t>(e)Arbitration Fees and Costs</w:t>
      </w:r>
    </w:p>
    <w:p>
      <w:pPr>
        <w:pStyle w:val="TextBody"/>
        <w:bidi w:val="0"/>
        <w:spacing w:lineRule="auto" w:line="273" w:before="84"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Employee will be required to pay a reasonable cost to initiate the arbitration equal to what Employee would be charged as a first appearance fee in state court in the county where the Employee works/worked for Figure. Figure shall pay all fees and costs that are unique to the arbitration process, including the arbitrator's fees. The arbitration hearing is not required to be stenographically recorded, but may be at the option of a party. The party requesting the arbitration hearing to be stenographically recorded is responsible for paying for the court reporter's service.</w:t>
      </w:r>
    </w:p>
    <w:p>
      <w:pPr>
        <w:pStyle w:val="TextBody"/>
        <w:bidi w:val="0"/>
        <w:spacing w:before="34" w:after="283"/>
        <w:jc w:val="left"/>
        <w:rPr/>
      </w:pPr>
      <w:r>
        <w:rPr/>
      </w:r>
    </w:p>
    <w:p>
      <w:pPr>
        <w:pStyle w:val="TextBody"/>
        <w:bidi w:val="0"/>
        <w:spacing w:lineRule="auto" w:line="276" w:before="0" w:after="0"/>
        <w:ind w:left="0" w:right="0" w:firstLine="737"/>
        <w:jc w:val="left"/>
        <w:rPr>
          <w:rFonts w:ascii="Times New Roman;serif" w:hAnsi="Times New Roman;serif"/>
          <w:b w:val="false"/>
          <w:color w:val="000000"/>
          <w:sz w:val="20"/>
        </w:rPr>
      </w:pPr>
      <w:r>
        <w:rPr>
          <w:rFonts w:ascii="Times New Roman;serif" w:hAnsi="Times New Roman;serif"/>
          <w:b w:val="false"/>
          <w:color w:val="000000"/>
          <w:sz w:val="20"/>
        </w:rPr>
        <w:t>Each party may be represented by an attorney in the arbitration. Except as set forth above, each party shall pay its own attorneys' fees and costs. If, however, any party prevails on a statutory claim that affords the prevailing party attorneys' fees and costs, or if there is a written agreement providing for attorneys' fees and costs, the arbitrator may award reasonable fees and costs to the prevailing party in accordance with applicable law.</w:t>
      </w:r>
    </w:p>
    <w:p>
      <w:pPr>
        <w:pStyle w:val="TextBody"/>
        <w:bidi w:val="0"/>
        <w:spacing w:before="34" w:after="283"/>
        <w:jc w:val="left"/>
        <w:rPr/>
      </w:pPr>
      <w:r>
        <w:rPr/>
      </w:r>
    </w:p>
    <w:p>
      <w:pPr>
        <w:pStyle w:val="TextBody"/>
        <w:bidi w:val="0"/>
        <w:spacing w:lineRule="auto" w:line="273" w:before="1" w:after="283"/>
        <w:ind w:left="0" w:right="0" w:firstLine="719"/>
        <w:jc w:val="both"/>
        <w:rPr/>
      </w:pPr>
      <w:r>
        <w:rPr>
          <w:rFonts w:ascii="Times New Roman;serif" w:hAnsi="Times New Roman;serif"/>
          <w:b w:val="false"/>
          <w:color w:val="000000"/>
          <w:sz w:val="20"/>
        </w:rPr>
        <w:t>6.</w:t>
      </w:r>
      <w:r>
        <w:rPr>
          <w:rFonts w:ascii="Times New Roman;serif" w:hAnsi="Times New Roman;serif"/>
          <w:b/>
          <w:color w:val="000000"/>
          <w:sz w:val="20"/>
          <w:u w:val="single"/>
        </w:rPr>
        <w:t>Entire Agreement</w:t>
      </w:r>
      <w:r>
        <w:rPr>
          <w:rFonts w:ascii="Times New Roman;serif" w:hAnsi="Times New Roman;serif"/>
          <w:b w:val="false"/>
          <w:color w:val="000000"/>
          <w:sz w:val="20"/>
        </w:rPr>
        <w:t>: This is the complete agreement of the Parties on the subject of arbitration of disputes (except for any arbitration agreement that may exist in connection with any pension or benefit plan). This Agreement supersedes any prior or contemporaneous oral or written understanding on the subject. No party is relying on any promises, oral or written, on the subject of the effect, enforceability, or meaning of this Agreement, except as specifically set forth in this Agreement. Once executed, this Agreement constitutes a binding contract between the Parties. Figure retains the right to amend, modify, or terminate this Agreement, subject to an implied covenant of good faith and fair dealing. At least 30 days’ advance written notice of any amendment, modification, or termination shall be provided to current employees, and no such amendment, modification, or termination shall apply to disputes of which Figure has knowledge prior to the amendment, modification, or termination.</w:t>
      </w:r>
    </w:p>
    <w:p>
      <w:pPr>
        <w:pStyle w:val="TextBody"/>
        <w:bidi w:val="0"/>
        <w:spacing w:before="32" w:after="283"/>
        <w:jc w:val="left"/>
        <w:rPr/>
      </w:pPr>
      <w:r>
        <w:rPr/>
      </w:r>
    </w:p>
    <w:p>
      <w:pPr>
        <w:pStyle w:val="TextBody"/>
        <w:bidi w:val="0"/>
        <w:spacing w:lineRule="auto" w:line="288" w:before="0" w:after="0"/>
        <w:ind w:left="0" w:right="0" w:firstLine="1097"/>
        <w:jc w:val="left"/>
        <w:rPr/>
      </w:pPr>
      <w:r>
        <w:rPr>
          <w:rFonts w:ascii="Times New Roman;serif" w:hAnsi="Times New Roman;serif"/>
          <w:b w:val="false"/>
          <w:color w:val="000000"/>
          <w:sz w:val="20"/>
        </w:rPr>
        <w:t>7.</w:t>
      </w:r>
      <w:r>
        <w:rPr>
          <w:rFonts w:ascii="Times New Roman;serif" w:hAnsi="Times New Roman;serif"/>
          <w:b/>
          <w:color w:val="000000"/>
          <w:sz w:val="20"/>
          <w:u w:val="single"/>
        </w:rPr>
        <w:t>Construction of Agreement</w:t>
      </w:r>
      <w:r>
        <w:rPr>
          <w:rFonts w:ascii="Times New Roman;serif" w:hAnsi="Times New Roman;serif"/>
          <w:b w:val="false"/>
          <w:color w:val="000000"/>
          <w:sz w:val="20"/>
        </w:rPr>
        <w:t>: If any provision of this Agreement is adjudged to be void, or otherwise unenforceable, in whole or in part, such a decision shall not affect the validity of the remainder of this Agreement. In such a case, any invalid provision shall be severed and the remainder of the Agreement enforced and/or reformed to the extent</w:t>
      </w:r>
    </w:p>
    <w:p>
      <w:pPr>
        <w:pStyle w:val="TextBody"/>
        <w:bidi w:val="0"/>
        <w:spacing w:lineRule="auto" w:line="273" w:before="1" w:after="283"/>
        <w:jc w:val="left"/>
        <w:rPr>
          <w:rFonts w:ascii="Times New Roman;serif" w:hAnsi="Times New Roman;serif"/>
          <w:b w:val="false"/>
          <w:color w:val="000000"/>
          <w:sz w:val="20"/>
        </w:rPr>
      </w:pPr>
      <w:r>
        <w:rPr>
          <w:rFonts w:ascii="Times New Roman;serif" w:hAnsi="Times New Roman;serif"/>
          <w:b w:val="false"/>
          <w:color w:val="000000"/>
          <w:sz w:val="20"/>
        </w:rPr>
        <w:t>necessary to be enforceable and to ensure that the resolution of any and all conflicts between the Parties be resolved by neutral, binding arbitration. However, in no event shall the arbitrator have authority to preside over any claims brought on a class, collective, or representative basis.</w:t>
      </w:r>
    </w:p>
    <w:p>
      <w:pPr>
        <w:pStyle w:val="TextBody"/>
        <w:bidi w:val="0"/>
        <w:spacing w:before="35" w:after="283"/>
        <w:jc w:val="left"/>
        <w:rPr/>
      </w:pPr>
      <w:r>
        <w:rPr/>
      </w:r>
    </w:p>
    <w:p>
      <w:pPr>
        <w:pStyle w:val="TextBody"/>
        <w:bidi w:val="0"/>
        <w:spacing w:lineRule="auto" w:line="276" w:before="0" w:after="0"/>
        <w:ind w:left="0" w:right="0" w:firstLine="1097"/>
        <w:jc w:val="left"/>
        <w:rPr/>
      </w:pPr>
      <w:r>
        <w:rPr>
          <w:rFonts w:ascii="Times New Roman;serif" w:hAnsi="Times New Roman;serif"/>
          <w:b w:val="false"/>
          <w:color w:val="000000"/>
          <w:sz w:val="20"/>
        </w:rPr>
        <w:t>8.</w:t>
      </w:r>
      <w:r>
        <w:rPr>
          <w:rFonts w:ascii="Times New Roman;serif" w:hAnsi="Times New Roman;serif"/>
          <w:b/>
          <w:color w:val="000000"/>
          <w:sz w:val="20"/>
          <w:u w:val="single"/>
        </w:rPr>
        <w:t>Waiver of Trial By Jury</w:t>
      </w:r>
      <w:r>
        <w:rPr>
          <w:rFonts w:ascii="Times New Roman;serif" w:hAnsi="Times New Roman;serif"/>
          <w:b w:val="false"/>
          <w:color w:val="000000"/>
          <w:sz w:val="20"/>
        </w:rPr>
        <w:t>: The Parties understand and fully agree that by entering into this Agreement providing for binding arbitration, they are giving up their constitutional right to have a trial by jury as to claims covered by this Agreement, and are giving up their normal rights of appeal following the rendering of a decision except to the extent that the Federal Arbitration Act or other applicable law provides for judicial review of arbitration proceedings. The Parties anticipate that by entering this Agreement they will gain the benefits of a speedy, impartial dispute resolution procedure.</w:t>
      </w:r>
    </w:p>
    <w:p>
      <w:pPr>
        <w:pStyle w:val="TextBody"/>
        <w:bidi w:val="0"/>
        <w:spacing w:before="34" w:after="283"/>
        <w:jc w:val="left"/>
        <w:rPr/>
      </w:pPr>
      <w:r>
        <w:rPr/>
      </w:r>
    </w:p>
    <w:p>
      <w:pPr>
        <w:pStyle w:val="TextBody"/>
        <w:bidi w:val="0"/>
        <w:spacing w:lineRule="auto" w:line="285" w:before="0" w:after="0"/>
        <w:ind w:left="0" w:right="0" w:firstLine="719"/>
        <w:jc w:val="both"/>
        <w:rPr/>
      </w:pPr>
      <w:r>
        <w:rPr>
          <w:rFonts w:ascii="Times New Roman;serif" w:hAnsi="Times New Roman;serif"/>
          <w:b w:val="false"/>
          <w:color w:val="000000"/>
          <w:sz w:val="20"/>
        </w:rPr>
        <w:t>9.</w:t>
      </w:r>
      <w:r>
        <w:rPr>
          <w:rFonts w:ascii="Times New Roman;serif" w:hAnsi="Times New Roman;serif"/>
          <w:b/>
          <w:color w:val="000000"/>
          <w:sz w:val="20"/>
          <w:u w:val="single"/>
        </w:rPr>
        <w:t>Not an Employment Contract</w:t>
      </w:r>
      <w:r>
        <w:rPr>
          <w:rFonts w:ascii="Times New Roman;serif" w:hAnsi="Times New Roman;serif"/>
          <w:b w:val="false"/>
          <w:color w:val="000000"/>
          <w:sz w:val="20"/>
        </w:rPr>
        <w:t>: This Agreement is not, and shall not be construed to create, a separate contract of employment, express or implied, nor shall this Agreement be construed in any way to change the relationship between Figure and Employee from that of at-will employment.</w:t>
      </w:r>
    </w:p>
    <w:p>
      <w:pPr>
        <w:pStyle w:val="TextBody"/>
        <w:bidi w:val="0"/>
        <w:spacing w:before="67" w:after="283"/>
        <w:jc w:val="left"/>
        <w:rPr/>
      </w:pPr>
      <w:r>
        <w:rPr/>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color w:val="000000"/>
          <w:sz w:val="24"/>
        </w:rPr>
      </w:pPr>
      <w:r>
        <w:rPr>
          <w:rFonts w:ascii="Times New Roman;serif" w:hAnsi="Times New Roman;serif"/>
          <w:b/>
          <w:color w:val="000000"/>
          <w:sz w:val="24"/>
        </w:rPr>
        <w:t>FT INTERMEDIATE, INC.</w:t>
      </w:r>
    </w:p>
    <w:tbl>
      <w:tblPr>
        <w:tblW w:w="4602" w:type="dxa"/>
        <w:jc w:val="left"/>
        <w:tblInd w:w="0" w:type="dxa"/>
        <w:tblLayout w:type="fixed"/>
        <w:tblCellMar>
          <w:top w:w="28" w:type="dxa"/>
          <w:left w:w="28" w:type="dxa"/>
          <w:bottom w:w="28" w:type="dxa"/>
          <w:right w:w="28" w:type="dxa"/>
        </w:tblCellMar>
      </w:tblPr>
      <w:tblGrid>
        <w:gridCol w:w="1182"/>
        <w:gridCol w:w="1042"/>
        <w:gridCol w:w="1046"/>
        <w:gridCol w:w="109"/>
        <w:gridCol w:w="109"/>
        <w:gridCol w:w="109"/>
        <w:gridCol w:w="294"/>
        <w:gridCol w:w="294"/>
        <w:gridCol w:w="417"/>
      </w:tblGrid>
      <w:tr>
        <w:trPr/>
        <w:tc>
          <w:tcPr>
            <w:tcW w:w="1182"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Doug Burns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4/16/2024</w:t>
            </w:r>
          </w:p>
        </w:tc>
      </w:tr>
      <w:tr>
        <w:trPr/>
        <w:tc>
          <w:tcPr>
            <w:tcW w:w="32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Douglas Burns, Chief People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816" w:before="16" w:after="283"/>
        <w:ind w:left="0" w:right="0" w:firstLine="12"/>
        <w:jc w:val="left"/>
        <w:rPr>
          <w:rFonts w:ascii="Times New Roman;serif" w:hAnsi="Times New Roman;serif"/>
          <w:b w:val="false"/>
          <w:color w:val="000000"/>
          <w:sz w:val="24"/>
        </w:rPr>
      </w:pPr>
      <w:r>
        <w:rPr>
          <w:rFonts w:ascii="Times New Roman;serif" w:hAnsi="Times New Roman;serif"/>
          <w:b w:val="false"/>
          <w:color w:val="000000"/>
          <w:sz w:val="24"/>
        </w:rPr>
        <w:t>ACKNOWLEDGED AND AGREED:</w:t>
      </w:r>
    </w:p>
    <w:tbl>
      <w:tblPr>
        <w:tblW w:w="3596" w:type="dxa"/>
        <w:jc w:val="left"/>
        <w:tblInd w:w="0" w:type="dxa"/>
        <w:tblLayout w:type="fixed"/>
        <w:tblCellMar>
          <w:top w:w="28" w:type="dxa"/>
          <w:left w:w="28" w:type="dxa"/>
          <w:bottom w:w="28" w:type="dxa"/>
          <w:right w:w="28" w:type="dxa"/>
        </w:tblCellMar>
      </w:tblPr>
      <w:tblGrid>
        <w:gridCol w:w="820"/>
        <w:gridCol w:w="721"/>
        <w:gridCol w:w="723"/>
        <w:gridCol w:w="109"/>
        <w:gridCol w:w="109"/>
        <w:gridCol w:w="109"/>
        <w:gridCol w:w="294"/>
        <w:gridCol w:w="294"/>
        <w:gridCol w:w="417"/>
      </w:tblGrid>
      <w:tr>
        <w:trPr/>
        <w:tc>
          <w:tcPr>
            <w:tcW w:w="820"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Michael Tannenbaum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4/16/2024</w:t>
            </w:r>
          </w:p>
        </w:tc>
      </w:tr>
      <w:tr>
        <w:trPr/>
        <w:tc>
          <w:tcPr>
            <w:tcW w:w="22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8"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6480175" cy="175260"/>
                <wp:effectExtent l="0" t="0" r="0" b="0"/>
                <wp:wrapNone/>
                <wp:docPr id="224" name="Frame2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209" w:after="283"/>
        <w:jc w:val="left"/>
        <w:rPr/>
      </w:pPr>
      <w:r>
        <w:rPr/>
      </w:r>
    </w:p>
    <w:p>
      <w:pPr>
        <w:pStyle w:val="TextBody"/>
        <w:bidi w:val="0"/>
        <w:spacing w:lineRule="auto" w:line="288" w:before="0" w:after="0"/>
        <w:jc w:val="left"/>
        <w:rPr>
          <w:rFonts w:ascii="Times New Roman;serif" w:hAnsi="Times New Roman;serif"/>
          <w:b w:val="false"/>
          <w:color w:val="212121"/>
          <w:sz w:val="24"/>
        </w:rPr>
      </w:pPr>
      <w:r>
        <w:rPr>
          <w:rFonts w:ascii="Times New Roman;serif" w:hAnsi="Times New Roman;serif"/>
          <w:b w:val="false"/>
          <w:color w:val="212121"/>
          <w:sz w:val="24"/>
        </w:rPr>
        <w:t>October 30, 2024 Minchung Kgil</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 xml:space="preserve">Dear </w:t>
      </w:r>
      <w:r>
        <w:rPr>
          <w:rFonts w:ascii="Times New Roman;serif" w:hAnsi="Times New Roman;serif"/>
          <w:b w:val="false"/>
          <w:color w:val="212121"/>
          <w:sz w:val="24"/>
        </w:rPr>
        <w:t>Minchung</w:t>
      </w:r>
      <w:r>
        <w:rPr>
          <w:rFonts w:ascii="Times New Roman;serif" w:hAnsi="Times New Roman;serif"/>
          <w:b w:val="false"/>
          <w:color w:val="000000"/>
          <w:sz w:val="24"/>
        </w:rPr>
        <w:t>:</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4"/>
        </w:rPr>
        <w:t>FT Intermediate, Inc., a Delaware limited liability company (“</w:t>
      </w:r>
      <w:r>
        <w:rPr>
          <w:rFonts w:ascii="Times New Roman;serif" w:hAnsi="Times New Roman;serif"/>
          <w:b w:val="false"/>
          <w:i/>
          <w:color w:val="000000"/>
          <w:sz w:val="24"/>
        </w:rPr>
        <w:t>Figure</w:t>
      </w:r>
      <w:r>
        <w:rPr>
          <w:color w:val="000000"/>
        </w:rPr>
        <w:t>”</w:t>
      </w:r>
      <w:r>
        <w:rPr>
          <w:rFonts w:ascii="Times New Roman;serif" w:hAnsi="Times New Roman;serif"/>
          <w:b w:val="false"/>
          <w:color w:val="000000"/>
          <w:sz w:val="24"/>
        </w:rPr>
        <w:t>), is pleased to offer you employment. This letter agreement (this “</w:t>
      </w:r>
      <w:r>
        <w:rPr>
          <w:rFonts w:ascii="Times New Roman;serif" w:hAnsi="Times New Roman;serif"/>
          <w:b w:val="false"/>
          <w:i/>
          <w:color w:val="000000"/>
          <w:sz w:val="24"/>
        </w:rPr>
        <w:t>Agreement</w:t>
      </w:r>
      <w:r>
        <w:rPr>
          <w:color w:val="000000"/>
        </w:rPr>
        <w:t>”</w:t>
      </w:r>
      <w:r>
        <w:rPr>
          <w:rFonts w:ascii="Times New Roman;serif" w:hAnsi="Times New Roman;serif"/>
          <w:b w:val="false"/>
          <w:color w:val="000000"/>
          <w:sz w:val="24"/>
        </w:rPr>
        <w:t>) memorializes the terms of your employment and your compensation arrangement with Figure.</w:t>
      </w:r>
    </w:p>
    <w:p>
      <w:pPr>
        <w:pStyle w:val="TextBody"/>
        <w:bidi w:val="0"/>
        <w:spacing w:before="0" w:after="0"/>
        <w:jc w:val="left"/>
        <w:rPr/>
      </w:pPr>
      <w:r>
        <w:rPr/>
      </w:r>
    </w:p>
    <w:p>
      <w:pPr>
        <w:pStyle w:val="TextBody"/>
        <w:bidi w:val="0"/>
        <w:spacing w:lineRule="auto" w:line="288" w:before="1" w:after="283"/>
        <w:ind w:left="0" w:right="0" w:hanging="720"/>
        <w:jc w:val="left"/>
        <w:rPr/>
      </w:pPr>
      <w:r>
        <w:rPr>
          <w:rFonts w:ascii="Times New Roman;serif" w:hAnsi="Times New Roman;serif"/>
          <w:b w:val="false"/>
          <w:color w:val="000000"/>
          <w:sz w:val="24"/>
        </w:rPr>
        <w:t>1.</w:t>
      </w:r>
      <w:r>
        <w:rPr>
          <w:rFonts w:ascii="Times New Roman;serif" w:hAnsi="Times New Roman;serif"/>
          <w:b/>
          <w:color w:val="000000"/>
          <w:sz w:val="24"/>
          <w:u w:val="single"/>
        </w:rPr>
        <w:t>Effective Date</w:t>
      </w:r>
      <w:r>
        <w:rPr>
          <w:rFonts w:ascii="Times New Roman;serif" w:hAnsi="Times New Roman;serif"/>
          <w:b w:val="false"/>
          <w:color w:val="000000"/>
          <w:sz w:val="24"/>
        </w:rPr>
        <w:t xml:space="preserve">. The terms of this Agreement are effective as of your start date of </w:t>
      </w:r>
      <w:r>
        <w:rPr>
          <w:rFonts w:ascii="Times New Roman;serif" w:hAnsi="Times New Roman;serif"/>
          <w:b w:val="false"/>
          <w:color w:val="212121"/>
          <w:sz w:val="24"/>
        </w:rPr>
        <w:t xml:space="preserve">December 2, 2024 </w:t>
      </w:r>
      <w:r>
        <w:rPr>
          <w:rFonts w:ascii="Times New Roman;serif" w:hAnsi="Times New Roman;serif"/>
          <w:b w:val="false"/>
          <w:color w:val="000000"/>
          <w:sz w:val="24"/>
        </w:rPr>
        <w:t>or any later date that Figure may agree to pursuant to Section 13</w:t>
      </w:r>
    </w:p>
    <w:p>
      <w:pPr>
        <w:pStyle w:val="TextBody"/>
        <w:bidi w:val="0"/>
        <w:spacing w:lineRule="auto" w:line="288" w:before="0" w:after="0"/>
        <w:jc w:val="left"/>
        <w:rPr/>
      </w:pPr>
      <w:r>
        <w:rPr>
          <w:rFonts w:ascii="Times New Roman;serif" w:hAnsi="Times New Roman;serif"/>
          <w:b w:val="false"/>
          <w:color w:val="000000"/>
          <w:sz w:val="24"/>
        </w:rPr>
        <w:t xml:space="preserve">below (the “Effective Date”) where you will be based </w:t>
      </w:r>
      <w:r>
        <w:rPr>
          <w:rFonts w:ascii="Times New Roman;serif" w:hAnsi="Times New Roman;serif"/>
          <w:b w:val="false"/>
          <w:color w:val="212121"/>
          <w:sz w:val="24"/>
        </w:rPr>
        <w:t xml:space="preserve">in office </w:t>
      </w:r>
      <w:r>
        <w:rPr>
          <w:rFonts w:ascii="Times New Roman;serif" w:hAnsi="Times New Roman;serif"/>
          <w:b w:val="false"/>
          <w:color w:val="000000"/>
          <w:sz w:val="24"/>
        </w:rPr>
        <w:t>in NY</w:t>
      </w:r>
      <w:r>
        <w:rPr>
          <w:rFonts w:ascii="Times New Roman;serif" w:hAnsi="Times New Roman;serif"/>
          <w:b w:val="false"/>
          <w:color w:val="212121"/>
          <w:sz w:val="24"/>
        </w:rPr>
        <w:t xml:space="preserve">. </w:t>
      </w:r>
      <w:r>
        <w:rPr>
          <w:rFonts w:ascii="Times New Roman;serif" w:hAnsi="Times New Roman;serif"/>
          <w:b w:val="false"/>
          <w:color w:val="000000"/>
          <w:sz w:val="24"/>
        </w:rPr>
        <w:t>By signing this letter, you confirm that you are under no contractual or other legal obligations that would prohibit you from performing your duties with Figure commencing on the Effective Date.</w:t>
      </w:r>
    </w:p>
    <w:p>
      <w:pPr>
        <w:pStyle w:val="TextBody"/>
        <w:bidi w:val="0"/>
        <w:spacing w:before="0" w:after="0"/>
        <w:jc w:val="left"/>
        <w:rPr/>
      </w:pPr>
      <w:r>
        <w:rPr/>
      </w:r>
    </w:p>
    <w:p>
      <w:pPr>
        <w:pStyle w:val="TextBody"/>
        <w:bidi w:val="0"/>
        <w:spacing w:lineRule="auto" w:line="288" w:before="0" w:after="0"/>
        <w:ind w:left="0" w:right="0" w:hanging="720"/>
        <w:jc w:val="left"/>
        <w:rPr/>
      </w:pPr>
      <w:r>
        <w:rPr>
          <w:rFonts w:ascii="Times New Roman;serif" w:hAnsi="Times New Roman;serif"/>
          <w:b w:val="false"/>
          <w:color w:val="000000"/>
          <w:sz w:val="24"/>
        </w:rPr>
        <w:t>2.</w:t>
      </w:r>
      <w:r>
        <w:rPr>
          <w:rFonts w:ascii="Times New Roman;serif" w:hAnsi="Times New Roman;serif"/>
          <w:b/>
          <w:color w:val="000000"/>
          <w:sz w:val="24"/>
          <w:u w:val="single"/>
        </w:rPr>
        <w:t>Job Title; Reporting</w:t>
      </w:r>
      <w:r>
        <w:rPr>
          <w:rFonts w:ascii="Times New Roman;serif" w:hAnsi="Times New Roman;serif"/>
          <w:b w:val="false"/>
          <w:color w:val="000000"/>
          <w:sz w:val="24"/>
        </w:rPr>
        <w:t xml:space="preserve">. Your title will be Chief Financial Officer, and you will report to </w:t>
      </w:r>
      <w:r>
        <w:rPr>
          <w:rFonts w:ascii="Times New Roman;serif" w:hAnsi="Times New Roman;serif"/>
          <w:b w:val="false"/>
          <w:color w:val="212121"/>
          <w:sz w:val="24"/>
        </w:rPr>
        <w:t>Michael Tannenbaum</w:t>
      </w:r>
      <w:r>
        <w:rPr>
          <w:rFonts w:ascii="Times New Roman;serif" w:hAnsi="Times New Roman;serif"/>
          <w:b w:val="false"/>
          <w:color w:val="000000"/>
          <w:sz w:val="24"/>
        </w:rPr>
        <w:t xml:space="preserve">, </w:t>
      </w:r>
      <w:r>
        <w:rPr>
          <w:rFonts w:ascii="Times New Roman;serif" w:hAnsi="Times New Roman;serif"/>
          <w:b w:val="false"/>
          <w:color w:val="212121"/>
          <w:sz w:val="24"/>
        </w:rPr>
        <w:t>Chief Executive Officer.</w:t>
      </w:r>
    </w:p>
    <w:p>
      <w:pPr>
        <w:pStyle w:val="TextBody"/>
        <w:bidi w:val="0"/>
        <w:spacing w:before="0" w:after="0"/>
        <w:jc w:val="left"/>
        <w:rPr/>
      </w:pPr>
      <w:r>
        <w:rPr/>
      </w:r>
    </w:p>
    <w:p>
      <w:pPr>
        <w:pStyle w:val="TextBody"/>
        <w:bidi w:val="0"/>
        <w:spacing w:lineRule="auto" w:line="288" w:before="0" w:after="0"/>
        <w:ind w:left="0" w:right="0" w:hanging="720"/>
        <w:jc w:val="both"/>
        <w:rPr/>
      </w:pPr>
      <w:r>
        <w:rPr>
          <w:rFonts w:ascii="Times New Roman;serif" w:hAnsi="Times New Roman;serif"/>
          <w:b w:val="false"/>
          <w:color w:val="000000"/>
          <w:sz w:val="24"/>
        </w:rPr>
        <w:t>3.</w:t>
      </w:r>
      <w:r>
        <w:rPr>
          <w:rFonts w:ascii="Times New Roman;serif" w:hAnsi="Times New Roman;serif"/>
          <w:b/>
          <w:color w:val="000000"/>
          <w:sz w:val="24"/>
          <w:u w:val="single"/>
        </w:rPr>
        <w:t>Compensation</w:t>
      </w:r>
      <w:r>
        <w:rPr>
          <w:rFonts w:ascii="Times New Roman;serif" w:hAnsi="Times New Roman;serif"/>
          <w:b w:val="false"/>
          <w:color w:val="000000"/>
          <w:sz w:val="24"/>
        </w:rPr>
        <w:t>. Figure will pay you a salary at the rate of $</w:t>
      </w:r>
      <w:r>
        <w:rPr>
          <w:rFonts w:ascii="Times New Roman;serif" w:hAnsi="Times New Roman;serif"/>
          <w:b w:val="false"/>
          <w:color w:val="212121"/>
          <w:sz w:val="24"/>
        </w:rPr>
        <w:t xml:space="preserve">450,000 </w:t>
      </w:r>
      <w:r>
        <w:rPr>
          <w:rFonts w:ascii="Times New Roman;serif" w:hAnsi="Times New Roman;serif"/>
          <w:b w:val="false"/>
          <w:color w:val="000000"/>
          <w:sz w:val="24"/>
        </w:rPr>
        <w:t>per year, subject to deductions for taxes and other withholdings as required by law and based on benefits you elect and authorize for deduction purposes. You will be classified as exempt for purposes of applicable federal and state employment laws.</w:t>
      </w:r>
    </w:p>
    <w:p>
      <w:pPr>
        <w:pStyle w:val="TextBody"/>
        <w:bidi w:val="0"/>
        <w:spacing w:before="1" w:after="283"/>
        <w:jc w:val="left"/>
        <w:rPr/>
      </w:pPr>
      <w:r>
        <w:rPr/>
      </w:r>
    </w:p>
    <w:p>
      <w:pPr>
        <w:pStyle w:val="TextBody"/>
        <w:bidi w:val="0"/>
        <w:spacing w:lineRule="auto" w:line="288" w:before="0" w:after="0"/>
        <w:ind w:left="0" w:right="0" w:hanging="720"/>
        <w:jc w:val="left"/>
        <w:rPr/>
      </w:pPr>
      <w:r>
        <w:rPr>
          <w:rFonts w:ascii="Times New Roman;serif" w:hAnsi="Times New Roman;serif"/>
          <w:b w:val="false"/>
          <w:color w:val="000000"/>
          <w:sz w:val="24"/>
        </w:rPr>
        <w:t>4.</w:t>
      </w:r>
      <w:r>
        <w:rPr>
          <w:rFonts w:ascii="Times New Roman;serif" w:hAnsi="Times New Roman;serif"/>
          <w:b/>
          <w:color w:val="000000"/>
          <w:sz w:val="24"/>
          <w:u w:val="single"/>
        </w:rPr>
        <w:t>Bonus</w:t>
      </w:r>
      <w:r>
        <w:rPr>
          <w:rFonts w:ascii="Times New Roman;serif" w:hAnsi="Times New Roman;serif"/>
          <w:b w:val="false"/>
          <w:color w:val="000000"/>
          <w:sz w:val="24"/>
        </w:rPr>
        <w:t>. You will be eligible to participate in Figure’s bonus plan (as in effect from time to time), which is based on a target of 33% of your quarterly base salary and may be earned each quarter after your first full quarter of employment; provided that if your employment starts within the first month of a quarter, you will be eligible to receive a prorated bonus based on days worked for that quarter. Bonuses are subject to both Figure’s and individual quarterly performance.</w:t>
      </w:r>
    </w:p>
    <w:p>
      <w:pPr>
        <w:pStyle w:val="TextBody"/>
        <w:bidi w:val="0"/>
        <w:spacing w:before="0" w:after="0"/>
        <w:jc w:val="left"/>
        <w:rPr/>
      </w:pPr>
      <w:r>
        <w:rPr/>
      </w:r>
    </w:p>
    <w:p>
      <w:pPr>
        <w:pStyle w:val="TextBody"/>
        <w:bidi w:val="0"/>
        <w:spacing w:lineRule="auto" w:line="288" w:before="0" w:after="0"/>
        <w:ind w:left="0" w:right="0" w:hanging="720"/>
        <w:jc w:val="left"/>
        <w:rPr/>
      </w:pPr>
      <w:r>
        <w:rPr>
          <w:rFonts w:ascii="Times New Roman;serif" w:hAnsi="Times New Roman;serif"/>
          <w:b w:val="false"/>
          <w:color w:val="000000"/>
          <w:sz w:val="24"/>
        </w:rPr>
        <w:t>5.</w:t>
      </w:r>
      <w:r>
        <w:rPr>
          <w:rFonts w:ascii="Times New Roman;serif" w:hAnsi="Times New Roman;serif"/>
          <w:b/>
          <w:color w:val="000000"/>
          <w:sz w:val="24"/>
          <w:u w:val="single"/>
        </w:rPr>
        <w:t>Sign-On Bonus</w:t>
      </w:r>
      <w:r>
        <w:rPr>
          <w:rFonts w:ascii="Times New Roman;serif" w:hAnsi="Times New Roman;serif"/>
          <w:b w:val="false"/>
          <w:color w:val="000000"/>
          <w:sz w:val="24"/>
        </w:rPr>
        <w:t>. You will be eligible for a one-time sign-on bonus in the amount of</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$125,000 payable upon completion of 90 days of employment. If you resign or are terminated for cause within one year of the employment date, you must repay the full bonus amount. If you are terminated not for cause within that year, you will be required to repay a prorated portion of the bonus, based on the months worked from the employment date to the termination date. Bonus payments are treated as taxable earnings and are subject to applicable federal and state withholdings.</w:t>
      </w:r>
    </w:p>
    <w:p>
      <w:pPr>
        <w:pStyle w:val="TextBody"/>
        <w:bidi w:val="0"/>
        <w:spacing w:before="1" w:after="283"/>
        <w:jc w:val="left"/>
        <w:rPr/>
      </w:pPr>
      <w:r>
        <w:rPr/>
      </w:r>
    </w:p>
    <w:p>
      <w:pPr>
        <w:pStyle w:val="TextBody"/>
        <w:bidi w:val="0"/>
        <w:spacing w:lineRule="auto" w:line="288" w:before="0" w:after="0"/>
        <w:ind w:left="0" w:right="0" w:hanging="720"/>
        <w:jc w:val="both"/>
        <w:rPr/>
      </w:pPr>
      <w:r>
        <w:rPr>
          <w:rFonts w:ascii="Times New Roman;serif" w:hAnsi="Times New Roman;serif"/>
          <w:b w:val="false"/>
          <w:color w:val="000000"/>
          <w:sz w:val="24"/>
        </w:rPr>
        <w:t>6.</w:t>
      </w:r>
      <w:r>
        <w:rPr>
          <w:rFonts w:ascii="Times New Roman;serif" w:hAnsi="Times New Roman;serif"/>
          <w:b/>
          <w:color w:val="000000"/>
          <w:sz w:val="24"/>
          <w:u w:val="single"/>
        </w:rPr>
        <w:t>Benefits</w:t>
      </w:r>
      <w:r>
        <w:rPr>
          <w:rFonts w:ascii="Times New Roman;serif" w:hAnsi="Times New Roman;serif"/>
          <w:b w:val="false"/>
          <w:color w:val="000000"/>
          <w:sz w:val="24"/>
        </w:rPr>
        <w:t>. You will be eligible to participate in company-sponsored benefits. Details on current offerings will be provided separately. In addition, you will be entitled to paid vacation in accordance with Figure’s vacation policy, as in effect from time to time.</w:t>
      </w:r>
    </w:p>
    <w:p>
      <w:pPr>
        <w:pStyle w:val="TextBody"/>
        <w:bidi w:val="0"/>
        <w:spacing w:before="0" w:after="0"/>
        <w:jc w:val="left"/>
        <w:rPr/>
      </w:pPr>
      <w:r>
        <w:rPr/>
      </w:r>
    </w:p>
    <w:p>
      <w:pPr>
        <w:pStyle w:val="TextBody"/>
        <w:bidi w:val="0"/>
        <w:spacing w:lineRule="auto" w:line="288"/>
        <w:ind w:left="0" w:right="0" w:hanging="720"/>
        <w:jc w:val="left"/>
        <w:rPr/>
      </w:pPr>
      <w:r>
        <w:rPr>
          <w:rFonts w:ascii="Times New Roman;serif" w:hAnsi="Times New Roman;serif"/>
          <w:b w:val="false"/>
          <w:color w:val="000000"/>
          <w:sz w:val="24"/>
        </w:rPr>
        <w:t>7.</w:t>
      </w:r>
      <w:r>
        <w:rPr>
          <w:rFonts w:ascii="Times New Roman;serif" w:hAnsi="Times New Roman;serif"/>
          <w:b/>
          <w:color w:val="000000"/>
          <w:sz w:val="24"/>
          <w:u w:val="single"/>
        </w:rPr>
        <w:t>Stock Options and Restricted Stock Units</w:t>
      </w:r>
      <w:r>
        <w:rPr>
          <w:rFonts w:ascii="Times New Roman;serif" w:hAnsi="Times New Roman;serif"/>
          <w:b/>
          <w:color w:val="000000"/>
          <w:sz w:val="24"/>
        </w:rPr>
        <w:t>.</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6480175" cy="175260"/>
                <wp:effectExtent l="0" t="0" r="0" b="0"/>
                <wp:wrapNone/>
                <wp:docPr id="225" name="Frame2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720"/>
        <w:jc w:val="left"/>
        <w:rPr/>
      </w:pPr>
      <w:r>
        <w:rPr/>
      </w:r>
    </w:p>
    <w:p>
      <w:pPr>
        <w:pStyle w:val="TextBody"/>
        <w:bidi w:val="0"/>
        <w:spacing w:before="0" w:after="0"/>
        <w:jc w:val="left"/>
        <w:rPr/>
      </w:pPr>
      <w:r>
        <w:rPr/>
      </w:r>
    </w:p>
    <w:p>
      <w:pPr>
        <w:pStyle w:val="TextBody"/>
        <w:bidi w:val="0"/>
        <w:spacing w:before="209" w:after="283"/>
        <w:jc w:val="left"/>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a.You will be granted an option to purchase 675,000 of shares of Figure’s common stock (the “Option”). The exercise price per share of the Option is determined by the Board when the Option is granted and is based on the 409A valuation at the time of Board approval. The Option will be subject to the terms and conditions applicable to options granted under Figure’s 2018 Equity Incentive Plan or any successor plan, (the “Plan”), as described in the Plan and the applicable Figure Option Exercise Form that will be provided to you when the Option vests. During your employment at Figure, you will vest in 12/48ths of the Option after 12 months of continuous service, and the balance will vest in equal monthly installments over the next 36 months of continuous service, as described in the applicable Stock Option Agreement.</w:t>
      </w:r>
    </w:p>
    <w:p>
      <w:pPr>
        <w:pStyle w:val="TextBody"/>
        <w:bidi w:val="0"/>
        <w:spacing w:before="0" w:after="0"/>
        <w:jc w:val="left"/>
        <w:rPr/>
      </w:pPr>
      <w:r>
        <w:rPr/>
      </w:r>
    </w:p>
    <w:p>
      <w:pPr>
        <w:pStyle w:val="TextBody"/>
        <w:bidi w:val="0"/>
        <w:spacing w:lineRule="auto" w:line="288" w:before="1" w:after="283"/>
        <w:jc w:val="both"/>
        <w:rPr>
          <w:rFonts w:ascii="Times New Roman;serif" w:hAnsi="Times New Roman;serif"/>
          <w:b w:val="false"/>
          <w:color w:val="000000"/>
          <w:sz w:val="24"/>
        </w:rPr>
      </w:pPr>
      <w:r>
        <w:rPr>
          <w:rFonts w:ascii="Times New Roman;serif" w:hAnsi="Times New Roman;serif"/>
          <w:b w:val="false"/>
          <w:color w:val="000000"/>
          <w:sz w:val="24"/>
        </w:rPr>
        <w:t>b.You will also be granted 675,000 of Figure’s restricted stock units (the “RSUs”) subject to the terms and conditions of the relevant plan documents (the “RSU Plan,” and collectively with the Plan, the “Equity Plans”). During your employment at Figure, you will vest in 12/48ths of the RSUs after 12 months of continuous service, and the balance will vest in equal quarterly installments over the next 36 months of continuous service. All vesting for RSUs are subject to a liquidity event (e.g., an IPO or a sale of the Company) within seven years of the date of grant and your continued service on such date of such liquidity event.</w:t>
      </w:r>
    </w:p>
    <w:p>
      <w:pPr>
        <w:pStyle w:val="TextBody"/>
        <w:bidi w:val="0"/>
        <w:spacing w:before="0" w:after="0"/>
        <w:jc w:val="left"/>
        <w:rPr/>
      </w:pPr>
      <w:r>
        <w:rPr/>
      </w:r>
    </w:p>
    <w:p>
      <w:pPr>
        <w:pStyle w:val="TextBody"/>
        <w:bidi w:val="0"/>
        <w:spacing w:lineRule="auto" w:line="288" w:before="0" w:after="0"/>
        <w:ind w:left="0" w:right="0" w:hanging="720"/>
        <w:jc w:val="both"/>
        <w:rPr/>
      </w:pPr>
      <w:r>
        <w:rPr>
          <w:rFonts w:ascii="Times New Roman;serif" w:hAnsi="Times New Roman;serif"/>
          <w:b w:val="false"/>
          <w:color w:val="000000"/>
          <w:sz w:val="24"/>
        </w:rPr>
        <w:t>8.</w:t>
      </w:r>
      <w:r>
        <w:rPr>
          <w:rFonts w:ascii="Times New Roman;serif" w:hAnsi="Times New Roman;serif"/>
          <w:b/>
          <w:color w:val="000000"/>
          <w:sz w:val="24"/>
          <w:u w:val="single"/>
        </w:rPr>
        <w:t>Confidential Information, Invention Assignment.</w:t>
      </w:r>
      <w:r>
        <w:rPr>
          <w:color w:val="000000"/>
        </w:rPr>
        <w:t xml:space="preserve"> </w:t>
      </w:r>
      <w:r>
        <w:rPr>
          <w:rFonts w:ascii="Times New Roman;serif" w:hAnsi="Times New Roman;serif"/>
          <w:b w:val="false"/>
          <w:color w:val="000000"/>
          <w:sz w:val="24"/>
        </w:rPr>
        <w:t>As a condition of your employment with Figure, you are required to sign Figure’s standard At-Will Employment, Confidential Information and Invention Assignment Agreement, a copy of which is attached hereto for your reference as Exhibit 1. The At-Will Employment, Confidential Information and Invention Assignment Agreement will be signed by you as a part of this Agreement during your onboarding process.</w:t>
      </w:r>
    </w:p>
    <w:p>
      <w:pPr>
        <w:pStyle w:val="TextBody"/>
        <w:bidi w:val="0"/>
        <w:spacing w:before="1" w:after="283"/>
        <w:jc w:val="left"/>
        <w:rPr/>
      </w:pPr>
      <w:r>
        <w:rPr/>
      </w:r>
    </w:p>
    <w:p>
      <w:pPr>
        <w:pStyle w:val="TextBody"/>
        <w:bidi w:val="0"/>
        <w:spacing w:lineRule="auto" w:line="288" w:before="0" w:after="0"/>
        <w:ind w:left="0" w:right="0" w:hanging="720"/>
        <w:jc w:val="both"/>
        <w:rPr/>
      </w:pPr>
      <w:r>
        <w:rPr>
          <w:rFonts w:ascii="Times New Roman;serif" w:hAnsi="Times New Roman;serif"/>
          <w:b w:val="false"/>
          <w:color w:val="000000"/>
          <w:sz w:val="24"/>
        </w:rPr>
        <w:t>9.</w:t>
      </w:r>
      <w:r>
        <w:rPr>
          <w:rFonts w:ascii="Times New Roman;serif" w:hAnsi="Times New Roman;serif"/>
          <w:b/>
          <w:color w:val="000000"/>
          <w:sz w:val="24"/>
          <w:u w:val="single"/>
        </w:rPr>
        <w:t>Arbitration Agreement.</w:t>
      </w:r>
      <w:r>
        <w:rPr>
          <w:color w:val="000000"/>
        </w:rPr>
        <w:t xml:space="preserve"> </w:t>
      </w:r>
      <w:r>
        <w:rPr>
          <w:rFonts w:ascii="Times New Roman;serif" w:hAnsi="Times New Roman;serif"/>
          <w:b w:val="false"/>
          <w:color w:val="000000"/>
          <w:sz w:val="24"/>
        </w:rPr>
        <w:t>As a condition of your employment with Figure, you agree to be bound by your and Figure’s Mutual Agreement to Arbitrate, which will be separately presented to you on or before your first day of employment.</w:t>
      </w:r>
    </w:p>
    <w:p>
      <w:pPr>
        <w:pStyle w:val="TextBody"/>
        <w:bidi w:val="0"/>
        <w:spacing w:before="0" w:after="0"/>
        <w:jc w:val="left"/>
        <w:rPr/>
      </w:pPr>
      <w:r>
        <w:rPr/>
      </w:r>
    </w:p>
    <w:p>
      <w:pPr>
        <w:pStyle w:val="TextBody"/>
        <w:bidi w:val="0"/>
        <w:spacing w:lineRule="auto" w:line="288" w:before="0" w:after="0"/>
        <w:ind w:left="0" w:right="0" w:hanging="720"/>
        <w:jc w:val="left"/>
        <w:rPr/>
      </w:pPr>
      <w:r>
        <w:rPr>
          <w:rFonts w:ascii="Times New Roman;serif" w:hAnsi="Times New Roman;serif"/>
          <w:b w:val="false"/>
          <w:color w:val="000000"/>
          <w:sz w:val="24"/>
        </w:rPr>
        <w:t>10.</w:t>
      </w:r>
      <w:r>
        <w:rPr>
          <w:rFonts w:ascii="Times New Roman;serif" w:hAnsi="Times New Roman;serif"/>
          <w:b/>
          <w:color w:val="000000"/>
          <w:sz w:val="24"/>
          <w:u w:val="single"/>
        </w:rPr>
        <w:t>At Will Employment Relationship</w:t>
      </w:r>
      <w:r>
        <w:rPr>
          <w:rFonts w:ascii="Times New Roman;serif" w:hAnsi="Times New Roman;serif"/>
          <w:b w:val="false"/>
          <w:color w:val="000000"/>
          <w:sz w:val="24"/>
        </w:rPr>
        <w:t>. Employment with Figure is for no specific period of time. Your employment with Figure will be “at will,” meaning that either you or Figure may terminate your employment at any time and for any reason, with or without cause, and with or without notice. Any contrary representations that may have been made to you are superseded by this letter agreement. This is the full and complete agreement between you and Figure on this term. Although your job duties, title,</w:t>
      </w:r>
    </w:p>
    <w:p>
      <w:pPr>
        <w:pStyle w:val="TextBody"/>
        <w:bidi w:val="0"/>
        <w:spacing w:lineRule="auto" w:line="288" w:before="1" w:after="283"/>
        <w:jc w:val="left"/>
        <w:rPr>
          <w:rFonts w:ascii="Times New Roman;serif" w:hAnsi="Times New Roman;serif"/>
          <w:b w:val="false"/>
          <w:color w:val="000000"/>
          <w:sz w:val="24"/>
        </w:rPr>
      </w:pPr>
      <w:r>
        <w:rPr>
          <w:rFonts w:ascii="Times New Roman;serif" w:hAnsi="Times New Roman;serif"/>
          <w:b w:val="false"/>
          <w:color w:val="000000"/>
          <w:sz w:val="24"/>
        </w:rPr>
        <w:t>compensation and benefits, as well as Figure’s personnel policies and procedures, may change from time to time, the “at will” nature of your employment may only be changed in an express written agreement signed by you and the CEO of Figure.</w:t>
      </w:r>
    </w:p>
    <w:p>
      <w:pPr>
        <w:pStyle w:val="TextBody"/>
        <w:bidi w:val="0"/>
        <w:spacing w:before="0" w:after="0"/>
        <w:jc w:val="left"/>
        <w:rPr/>
      </w:pPr>
      <w:r>
        <w:rPr/>
      </w:r>
    </w:p>
    <w:p>
      <w:pPr>
        <w:pStyle w:val="TextBody"/>
        <w:bidi w:val="0"/>
        <w:spacing w:lineRule="auto" w:line="288"/>
        <w:ind w:left="0" w:right="0" w:hanging="720"/>
        <w:jc w:val="both"/>
        <w:rPr/>
      </w:pPr>
      <w:r>
        <w:rPr>
          <w:rFonts w:ascii="Times New Roman;serif" w:hAnsi="Times New Roman;serif"/>
          <w:b w:val="false"/>
          <w:color w:val="000000"/>
          <w:sz w:val="24"/>
        </w:rPr>
        <w:t>11.</w:t>
      </w:r>
      <w:r>
        <w:rPr>
          <w:rFonts w:ascii="Times New Roman;serif" w:hAnsi="Times New Roman;serif"/>
          <w:b/>
          <w:color w:val="000000"/>
          <w:sz w:val="24"/>
          <w:u w:val="single"/>
        </w:rPr>
        <w:t>Tax Matters</w:t>
      </w:r>
      <w:r>
        <w:rPr>
          <w:rFonts w:ascii="Times New Roman;serif" w:hAnsi="Times New Roman;serif"/>
          <w:b w:val="false"/>
          <w:color w:val="000000"/>
          <w:sz w:val="24"/>
        </w:rPr>
        <w:t xml:space="preserve">. You are encouraged to obtain your own tax advice regarding your compensation from Figure. You agree that Figure does not have a duty to design its compensation policies in a manner that minimizes your tax liabilities, and you will not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6480175" cy="175260"/>
                <wp:effectExtent l="0" t="0" r="0" b="0"/>
                <wp:wrapNone/>
                <wp:docPr id="226" name="Frame2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make any claim against Figure or its Board of Directors related to tax liabilities arising from your compensation.</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Times New Roman;serif" w:hAnsi="Times New Roman;serif"/>
          <w:b w:val="false"/>
          <w:color w:val="000000"/>
          <w:sz w:val="24"/>
        </w:rPr>
        <w:t>12.</w:t>
      </w:r>
      <w:r>
        <w:rPr>
          <w:rFonts w:ascii="Times New Roman;serif" w:hAnsi="Times New Roman;serif"/>
          <w:b/>
          <w:color w:val="000000"/>
          <w:sz w:val="24"/>
          <w:u w:val="single"/>
        </w:rPr>
        <w:t>Outside Activities.</w:t>
      </w:r>
      <w:r>
        <w:rPr>
          <w:color w:val="000000"/>
        </w:rPr>
        <w:t xml:space="preserve"> </w:t>
      </w:r>
      <w:r>
        <w:rPr>
          <w:rFonts w:ascii="Times New Roman;serif" w:hAnsi="Times New Roman;serif"/>
          <w:b w:val="false"/>
          <w:color w:val="000000"/>
          <w:sz w:val="24"/>
        </w:rPr>
        <w:t>While you render services to Figure, you agree that you will not engage in any other employment, consulting or other business activity without the written consent of one of Figure’s officers. In addition, while you render services to the company, you will not assist any person or entity in competing with Figure, in preparing to compete with Figure or in hiring any employees or consultants of Figure.</w:t>
      </w:r>
    </w:p>
    <w:p>
      <w:pPr>
        <w:pStyle w:val="TextBody"/>
        <w:bidi w:val="0"/>
        <w:spacing w:before="0" w:after="0"/>
        <w:jc w:val="left"/>
        <w:rPr/>
      </w:pPr>
      <w:r>
        <w:rPr/>
      </w:r>
    </w:p>
    <w:p>
      <w:pPr>
        <w:pStyle w:val="TextBody"/>
        <w:bidi w:val="0"/>
        <w:spacing w:lineRule="auto" w:line="288" w:before="0" w:after="0"/>
        <w:ind w:left="0" w:right="0" w:hanging="720"/>
        <w:jc w:val="both"/>
        <w:rPr/>
      </w:pPr>
      <w:r>
        <w:rPr>
          <w:rFonts w:ascii="Times New Roman;serif" w:hAnsi="Times New Roman;serif"/>
          <w:b w:val="false"/>
          <w:color w:val="000000"/>
          <w:sz w:val="24"/>
        </w:rPr>
        <w:t>13.</w:t>
      </w:r>
      <w:r>
        <w:rPr>
          <w:rFonts w:ascii="Times New Roman;serif" w:hAnsi="Times New Roman;serif"/>
          <w:b/>
          <w:color w:val="000000"/>
          <w:sz w:val="24"/>
          <w:u w:val="single"/>
        </w:rPr>
        <w:t>Background Check.</w:t>
      </w:r>
      <w:r>
        <w:rPr>
          <w:color w:val="000000"/>
        </w:rPr>
        <w:t xml:space="preserve"> </w:t>
      </w:r>
      <w:r>
        <w:rPr>
          <w:rFonts w:ascii="Times New Roman;serif" w:hAnsi="Times New Roman;serif"/>
          <w:b w:val="false"/>
          <w:color w:val="000000"/>
          <w:sz w:val="24"/>
        </w:rPr>
        <w:t>We are extending this offer contingent upon satisfactory completion of our routine background, consumer credit report and reference check. Figure may postpone the start date listed in this letter if the process is not complete prior to that date. More information and consent to the background check will be provided in a separate letter.</w:t>
      </w:r>
    </w:p>
    <w:p>
      <w:pPr>
        <w:pStyle w:val="TextBody"/>
        <w:bidi w:val="0"/>
        <w:spacing w:before="0" w:after="0"/>
        <w:jc w:val="left"/>
        <w:rPr/>
      </w:pPr>
      <w:r>
        <w:rPr/>
      </w:r>
    </w:p>
    <w:p>
      <w:pPr>
        <w:pStyle w:val="TextBody"/>
        <w:bidi w:val="0"/>
        <w:spacing w:before="1" w:after="283"/>
        <w:jc w:val="left"/>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 * *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We hope that you will accept our offer to join Figure. You may indicate your agreement with these terms and accept this offer by signing and dating this offer letter agreement.</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4"/>
        </w:rPr>
        <w:t xml:space="preserve">This offer, if not accepted, will expire at end of day on </w:t>
      </w:r>
      <w:r>
        <w:rPr>
          <w:rFonts w:ascii="Times New Roman;serif" w:hAnsi="Times New Roman;serif"/>
          <w:b w:val="false"/>
          <w:color w:val="212121"/>
          <w:sz w:val="24"/>
        </w:rPr>
        <w:t>November 1, 2024</w:t>
      </w:r>
      <w:r>
        <w:rPr>
          <w:rFonts w:ascii="Times New Roman;serif" w:hAnsi="Times New Roman;serif"/>
          <w:b w:val="false"/>
          <w:color w:val="000000"/>
          <w:sz w:val="24"/>
        </w:rPr>
        <w:t xml:space="preserve">. As required by law, your employment with Figure is contingent upon your providing legal proof of your identity and authorization to work in the United States. Your employment is also contingent upon acceptable background search results and you starting work with the Company on or before </w:t>
      </w:r>
      <w:r>
        <w:rPr>
          <w:rFonts w:ascii="Times New Roman;serif" w:hAnsi="Times New Roman;serif"/>
          <w:b w:val="false"/>
          <w:color w:val="212121"/>
          <w:sz w:val="24"/>
        </w:rPr>
        <w:t>December 2, 2024</w:t>
      </w:r>
      <w:r>
        <w:rPr>
          <w:rFonts w:ascii="Times New Roman;serif" w:hAnsi="Times New Roman;serif"/>
          <w:b w:val="false"/>
          <w:color w:val="000000"/>
          <w:sz w:val="24"/>
        </w:rPr>
        <w:t>, or any later date that Figure may agree to as stated more fully in paragraph 1.</w:t>
      </w:r>
    </w:p>
    <w:p>
      <w:pPr>
        <w:pStyle w:val="TextBody"/>
        <w:bidi w:val="0"/>
        <w:spacing w:before="0" w:after="0"/>
        <w:jc w:val="left"/>
        <w:rPr/>
      </w:pPr>
      <w:r>
        <w:rPr/>
      </w:r>
    </w:p>
    <w:p>
      <w:pPr>
        <w:pStyle w:val="TextBody"/>
        <w:bidi w:val="0"/>
        <w:spacing w:before="1" w:after="283"/>
        <w:jc w:val="left"/>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Kind Regards,</w:t>
      </w:r>
    </w:p>
    <w:p>
      <w:pPr>
        <w:pStyle w:val="TextBody"/>
        <w:bidi w:val="0"/>
        <w:spacing w:before="0" w:after="0"/>
        <w:jc w:val="left"/>
        <w:rPr/>
      </w:pPr>
      <w:r>
        <w:rPr/>
      </w:r>
    </w:p>
    <w:tbl>
      <w:tblPr>
        <w:tblW w:w="5997" w:type="dxa"/>
        <w:jc w:val="left"/>
        <w:tblInd w:w="0" w:type="dxa"/>
        <w:tblLayout w:type="fixed"/>
        <w:tblCellMar>
          <w:top w:w="28" w:type="dxa"/>
          <w:left w:w="28" w:type="dxa"/>
          <w:bottom w:w="28" w:type="dxa"/>
          <w:right w:w="28" w:type="dxa"/>
        </w:tblCellMar>
      </w:tblPr>
      <w:tblGrid>
        <w:gridCol w:w="1688"/>
        <w:gridCol w:w="1486"/>
        <w:gridCol w:w="1491"/>
        <w:gridCol w:w="109"/>
        <w:gridCol w:w="109"/>
        <w:gridCol w:w="109"/>
        <w:gridCol w:w="294"/>
        <w:gridCol w:w="294"/>
        <w:gridCol w:w="417"/>
      </w:tblGrid>
      <w:tr>
        <w:trPr/>
        <w:tc>
          <w:tcPr>
            <w:tcW w:w="1688"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1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r>
      <w:tr>
        <w:trPr/>
        <w:tc>
          <w:tcPr>
            <w:tcW w:w="4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Laura Schmidt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11/1/2024</w:t>
            </w:r>
          </w:p>
        </w:tc>
      </w:tr>
      <w:tr>
        <w:trPr/>
        <w:tc>
          <w:tcPr>
            <w:tcW w:w="46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Laura Schmidt, Vice President of People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Minchung Kgil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11/1/2024</w:t>
            </w:r>
          </w:p>
        </w:tc>
      </w:tr>
      <w:tr>
        <w:trPr/>
        <w:tc>
          <w:tcPr>
            <w:tcW w:w="46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Normal"/>
        <w:bidi w:val="0"/>
        <w:spacing w:before="0" w:after="0"/>
        <w:ind w:left="0" w:right="0" w:firstLine="72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6480175" cy="175260"/>
                <wp:effectExtent l="0" t="0" r="0" b="0"/>
                <wp:wrapNone/>
                <wp:docPr id="227" name="Frame2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10" w:after="283"/>
        <w:jc w:val="left"/>
        <w:rPr/>
      </w:pPr>
      <w:r>
        <w:rPr/>
      </w:r>
    </w:p>
    <w:p>
      <w:pPr>
        <w:pStyle w:val="TextBody"/>
        <w:bidi w:val="0"/>
        <w:spacing w:lineRule="auto" w:line="288" w:before="0" w:after="0"/>
        <w:ind w:left="0" w:right="0" w:firstLine="148"/>
        <w:jc w:val="left"/>
        <w:rPr/>
      </w:pPr>
      <w:r>
        <w:rPr>
          <w:rFonts w:ascii="Times New Roman;serif" w:hAnsi="Times New Roman;serif"/>
          <w:b/>
          <w:color w:val="000000"/>
          <w:sz w:val="22"/>
          <w:u w:val="single"/>
        </w:rPr>
        <w:t>AT-WILL EMPLOYMENT, CONFIDENTIAL INFORMATION,</w:t>
      </w:r>
      <w:r>
        <w:rPr>
          <w:color w:val="000000"/>
        </w:rPr>
        <w:t xml:space="preserve"> </w:t>
      </w:r>
      <w:r>
        <w:rPr>
          <w:rFonts w:ascii="Times New Roman;serif" w:hAnsi="Times New Roman;serif"/>
          <w:b/>
          <w:color w:val="000000"/>
          <w:sz w:val="22"/>
          <w:u w:val="single"/>
        </w:rPr>
        <w:t>INVENTION ASSIGNMENT, AND ARBITRATION AGREEMENT</w:t>
      </w:r>
    </w:p>
    <w:p>
      <w:pPr>
        <w:pStyle w:val="TextBody"/>
        <w:bidi w:val="0"/>
        <w:spacing w:before="15" w:after="283"/>
        <w:jc w:val="left"/>
        <w:rPr/>
      </w:pPr>
      <w:r>
        <w:rPr/>
      </w:r>
    </w:p>
    <w:p>
      <w:pPr>
        <w:pStyle w:val="TextBody"/>
        <w:bidi w:val="0"/>
        <w:spacing w:lineRule="auto" w:line="288" w:before="0" w:after="0"/>
        <w:jc w:val="both"/>
        <w:rPr/>
      </w:pPr>
      <w:r>
        <w:rPr>
          <w:rFonts w:ascii="sans-serif" w:hAnsi="sans-serif"/>
          <w:b w:val="false"/>
          <w:color w:val="000000"/>
          <w:sz w:val="22"/>
        </w:rPr>
        <w:t>As a condition of my employment with FT Intermediate, Inc. (the “</w:t>
      </w:r>
      <w:r>
        <w:rPr>
          <w:rFonts w:ascii="sans-serif" w:hAnsi="sans-serif"/>
          <w:b/>
          <w:color w:val="000000"/>
          <w:sz w:val="22"/>
        </w:rPr>
        <w:t>Company</w:t>
      </w:r>
      <w:r>
        <w:rPr>
          <w:color w:val="000000"/>
        </w:rPr>
        <w:t>”</w:t>
      </w:r>
      <w:r>
        <w:rPr>
          <w:rFonts w:ascii="sans-serif" w:hAnsi="sans-serif"/>
          <w:b w:val="false"/>
          <w:color w:val="000000"/>
          <w:sz w:val="22"/>
        </w:rPr>
        <w:t>), and in consideration of my employment with the Company, and my receipt of the compensation now and hereafter paid to me by the Company, I agree to the following provisions of this At-Will Employment, Confidential Information, Invention Assignment, and Arbitration Agreement (this “</w:t>
      </w:r>
      <w:r>
        <w:rPr>
          <w:rFonts w:ascii="sans-serif" w:hAnsi="sans-serif"/>
          <w:b/>
          <w:color w:val="000000"/>
          <w:sz w:val="22"/>
        </w:rPr>
        <w:t>Agreement</w:t>
      </w:r>
      <w:r>
        <w:rPr>
          <w:color w:val="000000"/>
        </w:rPr>
        <w:t>”</w:t>
      </w:r>
      <w:r>
        <w:rPr>
          <w:rFonts w:ascii="sans-serif" w:hAnsi="sans-serif"/>
          <w:b w:val="false"/>
          <w:color w:val="000000"/>
          <w:sz w:val="22"/>
        </w:rPr>
        <w:t>):</w:t>
      </w:r>
    </w:p>
    <w:p>
      <w:pPr>
        <w:pStyle w:val="TextBody"/>
        <w:bidi w:val="0"/>
        <w:spacing w:lineRule="atLeast" w:line="253" w:before="240" w:after="283"/>
        <w:jc w:val="left"/>
        <w:rPr>
          <w:rFonts w:ascii="Times New Roman;serif" w:hAnsi="Times New Roman;serif"/>
          <w:b/>
          <w:color w:val="000000"/>
          <w:sz w:val="22"/>
          <w:u w:val="single"/>
        </w:rPr>
      </w:pPr>
      <w:r>
        <w:rPr>
          <w:rFonts w:ascii="Times New Roman;serif" w:hAnsi="Times New Roman;serif"/>
          <w:b/>
          <w:color w:val="000000"/>
          <w:sz w:val="22"/>
          <w:u w:val="single"/>
        </w:rPr>
        <w:t>At-Will Employment</w:t>
      </w:r>
    </w:p>
    <w:p>
      <w:pPr>
        <w:pStyle w:val="TextBody"/>
        <w:bidi w:val="0"/>
        <w:spacing w:lineRule="auto" w:line="288" w:before="0" w:after="0"/>
        <w:jc w:val="both"/>
        <w:rPr>
          <w:rFonts w:ascii="sans-serif" w:hAnsi="sans-serif"/>
          <w:b w:val="false"/>
          <w:color w:val="000000"/>
          <w:sz w:val="22"/>
        </w:rPr>
      </w:pPr>
      <w:r>
        <w:rPr>
          <w:rFonts w:ascii="sans-serif" w:hAnsi="sans-serif"/>
          <w:b w:val="false"/>
          <w:color w:val="000000"/>
          <w:sz w:val="22"/>
        </w:rPr>
        <w:t>I UNDERSTAND AND ACKNOWLEDGE THAT MY EMPLOYMENT WITH THE COMPANY IS FOR NO SPECIFIED TERM AND CONSTITUTES “AT-WILL” EMPLOYMENT. I ALSO UNDERSTAND THAT ANY REPRESENTATION TO THE CONTRARY IS UNAUTHORIZED AND NOT VALID UNLESS IN WRITING AND SIGNED BY THE CEO OF THE COMPANY. ACCORDINGLY, I ACKNOWLEDGE THAT MY EMPLOYMENT RELATIONSHIP MAY BE TERMINATED AT ANY TIME, WITH OR WITHOUT GOOD CAUSE OR FOR ANY OR NO CAUSE, AT MY OPTION OR AT THE OPTION OF THE COMPANY, WITH OR WITHOUT NOTICE. I FURTHER ACKNOWLEDGE THAT THE COMPANY MAY MODIFY JOB TITLES, SALARIES, AND BENEFITS FROM TIME TO TIME AS IT DEEMS NECESSARY.</w:t>
      </w:r>
    </w:p>
    <w:p>
      <w:pPr>
        <w:pStyle w:val="TextBody"/>
        <w:bidi w:val="0"/>
        <w:spacing w:lineRule="auto" w:line="288" w:before="242" w:after="283"/>
        <w:jc w:val="left"/>
        <w:rPr>
          <w:rFonts w:ascii="Times New Roman;serif" w:hAnsi="Times New Roman;serif"/>
          <w:b/>
          <w:color w:val="000000"/>
          <w:sz w:val="22"/>
          <w:u w:val="single"/>
        </w:rPr>
      </w:pPr>
      <w:r>
        <w:rPr>
          <w:rFonts w:ascii="Times New Roman;serif" w:hAnsi="Times New Roman;serif"/>
          <w:b/>
          <w:color w:val="000000"/>
          <w:sz w:val="22"/>
          <w:u w:val="single"/>
        </w:rPr>
        <w:t>Confidentiality</w:t>
      </w:r>
    </w:p>
    <w:p>
      <w:pPr>
        <w:pStyle w:val="TextBody"/>
        <w:bidi w:val="0"/>
        <w:spacing w:before="27" w:after="283"/>
        <w:jc w:val="left"/>
        <w:rPr/>
      </w:pPr>
      <w:r>
        <w:rPr/>
      </w:r>
    </w:p>
    <w:p>
      <w:pPr>
        <w:pStyle w:val="TextBody"/>
        <w:bidi w:val="0"/>
        <w:spacing w:lineRule="auto" w:line="288" w:before="0" w:after="0"/>
        <w:ind w:left="0" w:right="0" w:firstLine="631"/>
        <w:jc w:val="both"/>
        <w:rPr/>
      </w:pPr>
      <w:r>
        <w:rPr>
          <w:rFonts w:ascii="Times New Roman;serif" w:hAnsi="Times New Roman;serif"/>
          <w:b w:val="false"/>
          <w:i/>
          <w:color w:val="000000"/>
          <w:sz w:val="22"/>
        </w:rPr>
        <w:t>Definition of Company Confidential Information</w:t>
      </w:r>
      <w:r>
        <w:rPr>
          <w:rFonts w:ascii="Times New Roman;serif" w:hAnsi="Times New Roman;serif"/>
          <w:b w:val="false"/>
          <w:color w:val="000000"/>
          <w:sz w:val="22"/>
        </w:rPr>
        <w:t>. I understand that “</w:t>
      </w:r>
      <w:r>
        <w:rPr>
          <w:rFonts w:ascii="Times New Roman;serif" w:hAnsi="Times New Roman;serif"/>
          <w:b/>
          <w:color w:val="000000"/>
          <w:sz w:val="22"/>
        </w:rPr>
        <w:t>Company Confidential Information</w:t>
      </w:r>
      <w:r>
        <w:rPr>
          <w:color w:val="000000"/>
        </w:rPr>
        <w:t xml:space="preserve">” </w:t>
      </w:r>
      <w:r>
        <w:rPr>
          <w:rFonts w:ascii="Times New Roman;serif" w:hAnsi="Times New Roman;serif"/>
          <w:b w:val="false"/>
          <w:color w:val="000000"/>
          <w:sz w:val="22"/>
        </w:rPr>
        <w:t>means information (including any and all combinations of individual items of information) that the Company has or will develop, acquire, create, compile, discover or own, that has value in or to the Company’s business which is not generally known and which the Company wishes to maintain as confidential. Company Confidential Information includes both information disclosed by the Company to me, and information developed or learned by me during the course of my employment with the Company. Company Confidential Information also includes all information of which the unauthorized disclosure could be detrimental to the interests of the Company, whether or not such information is identified as Company Confidential Information. By example, and without limitation, Company Confidential Information includes any and all non-public information that relates to the actual or anticipated business and/or products, research or development of the Company, or to the Company’s technical data, trade secrets, or know-how, including, but not limited to, research, product plans, or other information regarding the Company’s products or services and markets therefor, customer lists and customers (including, but not limited to, customers of the Company on which I called or with which I may become acquainted during the term of my employment), software, developments, inventions, discoveries, ideas, processes, formulas, technology, designs, drawings, engineering, hardware configuration information, marketing, finances, and other business information disclosed by the Company either directly or indirectly in writing, orally or by drawings or inspection of premises, parts, equipment, or other Company property. Notwithstanding the foregoing, Company Confidential Information shall not include any such information which I can establish</w:t>
      </w:r>
    </w:p>
    <w:p>
      <w:pPr>
        <w:pStyle w:val="TextBody"/>
        <w:bidi w:val="0"/>
        <w:spacing w:lineRule="atLeast" w:line="252" w:before="2" w:after="283"/>
        <w:jc w:val="both"/>
        <w:rPr>
          <w:rFonts w:ascii="Times New Roman;serif" w:hAnsi="Times New Roman;serif"/>
          <w:b w:val="false"/>
          <w:color w:val="000000"/>
          <w:sz w:val="22"/>
        </w:rPr>
      </w:pPr>
      <w:r>
        <w:rPr>
          <w:rFonts w:ascii="Times New Roman;serif" w:hAnsi="Times New Roman;serif"/>
          <w:b w:val="false"/>
          <w:color w:val="000000"/>
          <w:sz w:val="22"/>
        </w:rPr>
        <w:t>(i) was publicly known or made generally available prior to the time of disclosure by the Company to me;</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(ii) becomes publicly known or made generally available after disclosure by the Company to me through no wrongful action or omission by me; or (iii) is in my rightful possession, without confidentiality obligations, at the time of disclosure by the Company as shown by my then-contemporaneous written records; provided that any combination of individual items of information shall not be deemed to be within any of the foregoing exceptions merely because one or more of the individual items are within such exception, unless the combination as a whole is within such exception. I understand that nothing in this Agreement limits employees’ rights to discuss the terms, wages, and working conditions of their employment, as protected by applicable law.</w:t>
      </w:r>
    </w:p>
    <w:p>
      <w:pPr>
        <w:pStyle w:val="TextBody"/>
        <w:bidi w:val="0"/>
        <w:spacing w:before="0" w:after="0"/>
        <w:jc w:val="both"/>
        <w:rPr/>
      </w:pPr>
      <w:r>
        <w:rPr/>
      </w:r>
    </w:p>
    <w:p>
      <w:pPr>
        <w:pStyle w:val="TextBody"/>
        <w:bidi w:val="0"/>
        <w:spacing w:lineRule="auto" w:line="288"/>
        <w:ind w:left="0" w:right="0" w:firstLine="719"/>
        <w:jc w:val="both"/>
        <w:rPr/>
      </w:pPr>
      <w:r>
        <w:rPr>
          <w:rFonts w:ascii="Times New Roman;serif" w:hAnsi="Times New Roman;serif"/>
          <w:b w:val="false"/>
          <w:i/>
          <w:color w:val="000000"/>
          <w:sz w:val="22"/>
        </w:rPr>
        <w:t>Nonuse and Nondisclosure</w:t>
      </w:r>
      <w:r>
        <w:rPr>
          <w:rFonts w:ascii="Times New Roman;serif" w:hAnsi="Times New Roman;serif"/>
          <w:b w:val="false"/>
          <w:color w:val="000000"/>
          <w:sz w:val="22"/>
        </w:rPr>
        <w:t xml:space="preserve">. I agree that during and after my employment with the Company, I will hold in the strictest confidence, and take all reasonable precautions to prevent any unauthorized use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6480175" cy="175260"/>
                <wp:effectExtent l="0" t="0" r="0" b="0"/>
                <wp:wrapNone/>
                <wp:docPr id="228" name="Frame2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erif" w:hAnsi="Times New Roman;serif"/>
          <w:b w:val="false"/>
          <w:color w:val="000000"/>
          <w:sz w:val="22"/>
        </w:rPr>
        <w:t xml:space="preserve">or disclosure of Company Confidential Information. I will not (i) use Company Confidential Information for any purpose whatsoever other than for the benefit of the Company in the course of my employment, or (ii) disclose Company Confidential Information to any third party without the prior written authorization of the CEO, or the Board of Directors of the Company. Prior to disclosure when compelled by applicable law; I shall provide prior written notice to the CEO, and General Counsel of the Company (as applicable). I agree that I obtain no title to any Company Confidential Information, and that the Company retains all Confidential Information as the sole property of the Company. I understand that my unauthorized use or disclosure of Company Confidential Information during my employment may lead to disciplinary action, up to and including immediate termination and legal action by the Company. I understand that my obligations under this </w:t>
      </w:r>
      <w:r>
        <w:rPr>
          <w:rFonts w:ascii="Times New Roman;serif" w:hAnsi="Times New Roman;serif"/>
          <w:b/>
          <w:color w:val="000000"/>
          <w:sz w:val="22"/>
        </w:rPr>
        <w:t xml:space="preserve">Section </w:t>
      </w:r>
      <w:hyperlink w:anchor="i545c791faee34125b64b43588de72a10_1">
        <w:r>
          <w:rPr>
            <w:rStyle w:val="InternetLink"/>
            <w:rFonts w:ascii="Times New Roman;serif" w:hAnsi="Times New Roman;serif"/>
            <w:b/>
            <w:strike w:val="false"/>
            <w:dstrike w:val="false"/>
            <w:color w:val="000000"/>
            <w:sz w:val="22"/>
            <w:u w:val="none"/>
            <w:effect w:val="none"/>
          </w:rPr>
          <w:t>0</w:t>
        </w:r>
      </w:hyperlink>
      <w:r>
        <w:rPr>
          <w:rFonts w:ascii="Times New Roman;serif" w:hAnsi="Times New Roman;serif"/>
          <w:b/>
          <w:color w:val="000000"/>
          <w:sz w:val="22"/>
        </w:rPr>
        <w:t xml:space="preserve"> </w:t>
      </w:r>
      <w:r>
        <w:rPr>
          <w:rFonts w:ascii="Times New Roman;serif" w:hAnsi="Times New Roman;serif"/>
          <w:b w:val="false"/>
          <w:color w:val="000000"/>
          <w:sz w:val="22"/>
        </w:rPr>
        <w:t xml:space="preserve">shall continue after termination of my employment and also that nothing in this Agreement prevents me from engaging in protected activity, as described in </w:t>
      </w:r>
      <w:r>
        <w:rPr>
          <w:rFonts w:ascii="Times New Roman;serif" w:hAnsi="Times New Roman;serif"/>
          <w:b/>
          <w:color w:val="000000"/>
          <w:sz w:val="22"/>
        </w:rPr>
        <w:t xml:space="preserve">Section 14 </w:t>
      </w:r>
      <w:r>
        <w:rPr>
          <w:rFonts w:ascii="Times New Roman;serif" w:hAnsi="Times New Roman;serif"/>
          <w:b w:val="false"/>
          <w:color w:val="000000"/>
          <w:sz w:val="22"/>
        </w:rPr>
        <w:t>below.</w:t>
      </w:r>
    </w:p>
    <w:p>
      <w:pPr>
        <w:pStyle w:val="TextBody"/>
        <w:bidi w:val="0"/>
        <w:spacing w:lineRule="auto" w:line="288" w:before="241" w:after="283"/>
        <w:ind w:left="0" w:right="0" w:firstLine="719"/>
        <w:jc w:val="both"/>
        <w:rPr/>
      </w:pPr>
      <w:r>
        <w:rPr>
          <w:rFonts w:ascii="Times New Roman;serif" w:hAnsi="Times New Roman;serif"/>
          <w:b w:val="false"/>
          <w:i/>
          <w:color w:val="000000"/>
          <w:sz w:val="22"/>
        </w:rPr>
        <w:t>Former Employer Confidential Information</w:t>
      </w:r>
      <w:r>
        <w:rPr>
          <w:rFonts w:ascii="Times New Roman;serif" w:hAnsi="Times New Roman;serif"/>
          <w:b w:val="false"/>
          <w:color w:val="000000"/>
          <w:sz w:val="22"/>
        </w:rPr>
        <w:t>. I agree that during my employment with the Company, I will not improperly use, disclose, or induce the Company to use any proprietary information or trade secrets of any former employer or other person or entity with which I have an obligation to keep such proprietary information or trade secrets in confidence. I further agree that I will not bring onto the Company’s premises or transfer onto the Company’s technology systems any unpublished document, proprietary information, or trade secrets belonging to any such third party unless disclosure to, and use by, the Company has been consented to in writing by such third party and the Company.</w:t>
      </w:r>
    </w:p>
    <w:p>
      <w:pPr>
        <w:pStyle w:val="TextBody"/>
        <w:bidi w:val="0"/>
        <w:spacing w:lineRule="auto" w:line="288" w:before="240" w:after="283"/>
        <w:ind w:left="0" w:right="0" w:firstLine="719"/>
        <w:jc w:val="both"/>
        <w:rPr/>
      </w:pPr>
      <w:r>
        <w:rPr>
          <w:rFonts w:ascii="Times New Roman;serif" w:hAnsi="Times New Roman;serif"/>
          <w:b w:val="false"/>
          <w:i/>
          <w:color w:val="000000"/>
          <w:sz w:val="22"/>
        </w:rPr>
        <w:t>Third Party Information</w:t>
      </w:r>
      <w:r>
        <w:rPr>
          <w:rFonts w:ascii="Times New Roman;serif" w:hAnsi="Times New Roman;serif"/>
          <w:b w:val="false"/>
          <w:color w:val="000000"/>
          <w:sz w:val="22"/>
        </w:rPr>
        <w:t>. I recognize that the Company has received, and in the future may receive, from third parties (for example, customers, suppliers, licensors, licensees, partners, and collaborators) as well as its subsidiaries and affiliates (“</w:t>
      </w:r>
      <w:r>
        <w:rPr>
          <w:rFonts w:ascii="Times New Roman;serif" w:hAnsi="Times New Roman;serif"/>
          <w:b/>
          <w:color w:val="000000"/>
          <w:sz w:val="22"/>
        </w:rPr>
        <w:t>Associated Third Parties</w:t>
      </w:r>
      <w:r>
        <w:rPr>
          <w:color w:val="000000"/>
        </w:rPr>
        <w:t>”</w:t>
      </w:r>
      <w:r>
        <w:rPr>
          <w:rFonts w:ascii="Times New Roman;serif" w:hAnsi="Times New Roman;serif"/>
          <w:b w:val="false"/>
          <w:color w:val="000000"/>
          <w:sz w:val="22"/>
        </w:rPr>
        <w:t>), information which the Company is required to maintain and treat as confidential or proprietary information of such Associated Third Parties (“</w:t>
      </w:r>
      <w:r>
        <w:rPr>
          <w:rFonts w:ascii="Times New Roman;serif" w:hAnsi="Times New Roman;serif"/>
          <w:b/>
          <w:color w:val="000000"/>
          <w:sz w:val="22"/>
        </w:rPr>
        <w:t>Associated Third Party Confidential Information</w:t>
      </w:r>
      <w:r>
        <w:rPr>
          <w:color w:val="000000"/>
        </w:rPr>
        <w:t>”</w:t>
      </w:r>
      <w:r>
        <w:rPr>
          <w:rFonts w:ascii="Times New Roman;serif" w:hAnsi="Times New Roman;serif"/>
          <w:b w:val="false"/>
          <w:color w:val="000000"/>
          <w:sz w:val="22"/>
        </w:rPr>
        <w:t>), and I agree to use such Associated Third Party Confidential Information only as directed by the Company and to not use or disclose such Associated Third Party Confidential Information in a manner that would violate the Company’s obligations to such Associated Third Parties. By way of example, Associated Third Party Confidential Information may include the habits or practices of Associated Third Parties, the technology of Associated Third Parties, requirements of Associated Third Parties, and information related to the business conducted between the Company and such Associated Third Parties. I agree at all times during my employment with the Company and thereafter, that I owe the Company and its Associated Third Parties a duty to hold all such Associated Third Party Confidential Information in the strictest confidence, and not to use it or to disclose it to any person, firm, corporation, or other third party except as necessary in carrying out my work for the Company consistent with the Company’s agreement with such Associated Third Parties. I further agree to comply with any and all Company policies and guidelines that may be adopted from time to time regarding Associated Third Parties and Associated Third Party Confidential Information. I understand that my unauthorized use or disclosure of Associated Third Party Confidential Information or violation of any Company policies during my employment may lead to disciplinary action, up to and including immediate termination and legal action by the Company.</w:t>
      </w:r>
    </w:p>
    <w:p>
      <w:pPr>
        <w:pStyle w:val="TextBody"/>
        <w:bidi w:val="0"/>
        <w:spacing w:lineRule="auto" w:line="288" w:before="245" w:after="283"/>
        <w:jc w:val="left"/>
        <w:rPr>
          <w:rFonts w:ascii="Times New Roman;serif" w:hAnsi="Times New Roman;serif"/>
          <w:b/>
          <w:color w:val="000000"/>
          <w:sz w:val="22"/>
          <w:u w:val="single"/>
        </w:rPr>
      </w:pPr>
      <w:r>
        <w:rPr>
          <w:rFonts w:ascii="Times New Roman;serif" w:hAnsi="Times New Roman;serif"/>
          <w:b/>
          <w:color w:val="000000"/>
          <w:sz w:val="22"/>
          <w:u w:val="single"/>
        </w:rPr>
        <w:t>Ownership</w:t>
      </w:r>
    </w:p>
    <w:p>
      <w:pPr>
        <w:pStyle w:val="TextBody"/>
        <w:bidi w:val="0"/>
        <w:spacing w:lineRule="auto" w:line="288" w:before="237" w:after="283"/>
        <w:ind w:left="0" w:right="0" w:firstLine="719"/>
        <w:jc w:val="both"/>
        <w:rPr/>
      </w:pPr>
      <w:r>
        <w:rPr>
          <w:rFonts w:ascii="Times New Roman;serif" w:hAnsi="Times New Roman;serif"/>
          <w:b w:val="false"/>
          <w:i/>
          <w:color w:val="000000"/>
          <w:sz w:val="22"/>
        </w:rPr>
        <w:t>Assignment of Inventions</w:t>
      </w:r>
      <w:r>
        <w:rPr>
          <w:rFonts w:ascii="Times New Roman;serif" w:hAnsi="Times New Roman;serif"/>
          <w:b w:val="false"/>
          <w:color w:val="000000"/>
          <w:sz w:val="22"/>
        </w:rPr>
        <w:t xml:space="preserve">. As between the Company and myself, I agree that all right, title, and interest in and to any and all copyrightable material, notes, records, ideas, drawings, designs, logos, inventions, improvements, developments, discoveries and trade secrets conceived, discovered, authored, invented, developed or reduced to practice by me, solely or in collaboration with others, during the period of time I am in the employ of the Company (including during my off-duty hours), or with the use of the Company’s equipment, supplies, facilities, or Company Confidential Information, and any copyrights, patents, trade secrets, mask work rights or other intellectual property rights relating to the foregoing, except as provided in </w:t>
      </w:r>
      <w:r>
        <w:rPr>
          <w:rFonts w:ascii="Times New Roman;serif" w:hAnsi="Times New Roman;serif"/>
          <w:b/>
          <w:color w:val="000000"/>
          <w:sz w:val="22"/>
        </w:rPr>
        <w:t xml:space="preserve">Section 3.G </w:t>
      </w:r>
      <w:r>
        <w:rPr>
          <w:rFonts w:ascii="Times New Roman;serif" w:hAnsi="Times New Roman;serif"/>
          <w:b w:val="false"/>
          <w:color w:val="000000"/>
          <w:sz w:val="22"/>
        </w:rPr>
        <w:t>below (collectively, “</w:t>
      </w:r>
      <w:r>
        <w:rPr>
          <w:rFonts w:ascii="Times New Roman;serif" w:hAnsi="Times New Roman;serif"/>
          <w:b/>
          <w:color w:val="000000"/>
          <w:sz w:val="22"/>
        </w:rPr>
        <w:t>Inventions</w:t>
      </w:r>
      <w:r>
        <w:rPr>
          <w:color w:val="000000"/>
        </w:rPr>
        <w:t>”</w:t>
      </w:r>
      <w:r>
        <w:rPr>
          <w:rFonts w:ascii="Times New Roman;serif" w:hAnsi="Times New Roman;serif"/>
          <w:b w:val="false"/>
          <w:color w:val="000000"/>
          <w:sz w:val="22"/>
        </w:rPr>
        <w:t xml:space="preserve">), are the sole property of the Company. I also agree to promptly make full written disclosure to the Company of any Inventions, and to deliver and assign and hereby irrevocably assign fully to the Company all of my right, title and interest in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6480175" cy="175260"/>
                <wp:effectExtent l="0" t="0" r="0" b="0"/>
                <wp:wrapNone/>
                <wp:docPr id="229" name="Frame2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37" w:after="283"/>
        <w:jc w:val="both"/>
        <w:rPr>
          <w:rFonts w:ascii="Times New Roman;serif" w:hAnsi="Times New Roman;serif"/>
          <w:b w:val="false"/>
          <w:color w:val="000000"/>
          <w:sz w:val="22"/>
        </w:rPr>
      </w:pPr>
      <w:r>
        <w:rPr>
          <w:rFonts w:ascii="Times New Roman;serif" w:hAnsi="Times New Roman;serif"/>
          <w:b w:val="false"/>
          <w:color w:val="000000"/>
          <w:sz w:val="22"/>
        </w:rPr>
        <w:t>and to Inventions. I agree that this assignment includes a present conveyance to the Company of ownership of Inventions that are not yet in existence. I further acknowledge that all original works of authorship that are made by me (solely or jointly with others) within the scope of and during the period of my employment with the Company and that are protectable by copyright are “works made for hire,” as that term is defined in the United States Copyright Act. I understand and agree that the decision whether or not to commercialize or market any Inventions is within the Company’s sole discretion and for the Company’s sole benefit, and that no royalty or other consideration will be due to me as a result of the Company’s efforts to commercialize or market any such Inventions.</w:t>
      </w:r>
    </w:p>
    <w:p>
      <w:pPr>
        <w:pStyle w:val="TextBody"/>
        <w:bidi w:val="0"/>
        <w:spacing w:lineRule="auto" w:line="288" w:before="241" w:after="283"/>
        <w:ind w:left="0" w:right="0" w:firstLine="719"/>
        <w:jc w:val="both"/>
        <w:rPr/>
      </w:pPr>
      <w:r>
        <w:rPr>
          <w:rFonts w:ascii="Times New Roman;serif" w:hAnsi="Times New Roman;serif"/>
          <w:b w:val="false"/>
          <w:i/>
          <w:color w:val="000000"/>
          <w:sz w:val="22"/>
        </w:rPr>
        <w:t>Pre-Existing Materials</w:t>
      </w:r>
      <w:r>
        <w:rPr>
          <w:rFonts w:ascii="Times New Roman;serif" w:hAnsi="Times New Roman;serif"/>
          <w:b w:val="false"/>
          <w:color w:val="000000"/>
          <w:sz w:val="22"/>
        </w:rPr>
        <w:t xml:space="preserve">. I will inform the Company in writing before incorporating any inventions, discoveries, ideas, original works of authorship, developments, improvements, </w:t>
      </w:r>
      <w:r>
        <w:rPr>
          <w:rFonts w:ascii="Times New Roman;serif" w:hAnsi="Times New Roman;serif"/>
          <w:b w:val="false"/>
          <w:color w:val="000000"/>
          <w:sz w:val="22"/>
          <w:u w:val="single"/>
        </w:rPr>
        <w:t>trade secrets and other</w:t>
      </w:r>
      <w:r>
        <w:rPr>
          <w:color w:val="000000"/>
        </w:rPr>
        <w:t xml:space="preserve"> </w:t>
      </w:r>
      <w:r>
        <w:rPr>
          <w:rFonts w:ascii="Times New Roman;serif" w:hAnsi="Times New Roman;serif"/>
          <w:b w:val="false"/>
          <w:color w:val="000000"/>
          <w:sz w:val="22"/>
          <w:u w:val="single"/>
        </w:rPr>
        <w:t>proprietary information or intellectual property rights owned by me or in which I have an interest</w:t>
      </w:r>
      <w:r>
        <w:rPr>
          <w:color w:val="000000"/>
        </w:rPr>
        <w:t xml:space="preserve"> </w:t>
      </w:r>
      <w:r>
        <w:rPr>
          <w:rFonts w:ascii="Times New Roman;serif" w:hAnsi="Times New Roman;serif"/>
          <w:b w:val="false"/>
          <w:color w:val="000000"/>
          <w:sz w:val="22"/>
        </w:rPr>
        <w:t xml:space="preserve">prior to, or separate from, my employment with the Company, including without limitation, any such inventions that meet the criteria set forth herein under </w:t>
      </w:r>
      <w:r>
        <w:rPr>
          <w:rFonts w:ascii="Times New Roman;serif" w:hAnsi="Times New Roman;serif"/>
          <w:b/>
          <w:color w:val="000000"/>
          <w:sz w:val="22"/>
        </w:rPr>
        <w:t xml:space="preserve">Section 3.G </w:t>
      </w:r>
      <w:r>
        <w:rPr>
          <w:rFonts w:ascii="Times New Roman;serif" w:hAnsi="Times New Roman;serif"/>
          <w:b w:val="false"/>
          <w:color w:val="000000"/>
          <w:sz w:val="22"/>
        </w:rPr>
        <w:t>(“</w:t>
      </w:r>
      <w:r>
        <w:rPr>
          <w:rFonts w:ascii="Times New Roman;serif" w:hAnsi="Times New Roman;serif"/>
          <w:b/>
          <w:color w:val="000000"/>
          <w:sz w:val="22"/>
        </w:rPr>
        <w:t>Prior Inventions</w:t>
      </w:r>
      <w:r>
        <w:rPr>
          <w:color w:val="000000"/>
        </w:rPr>
        <w:t>”</w:t>
      </w:r>
      <w:r>
        <w:rPr>
          <w:rFonts w:ascii="Times New Roman;serif" w:hAnsi="Times New Roman;serif"/>
          <w:b w:val="false"/>
          <w:color w:val="000000"/>
          <w:sz w:val="22"/>
        </w:rPr>
        <w:t xml:space="preserve">) into any Invention or otherwise utilizing any such Prior Invention in the course of my employment with the Company, and the Company is hereby granted a nonexclusive, royalty-free, perpetual, irrevocable, transferable worldwide license (with the right to grant and authorize sublicenses) to make, have made, use, import, offer for sale, sell, reproduce, distribute, modify, adapt, prepare derivative works of, display, perform, and otherwise exploit such Prior Inventions, without restriction, including, without limitation, as part of or in connection with such Invention, and to practice any method related thereto. I will not incorporate any inventions, discoveries, ideas, original works of authorship, developments, improvements, trade secrets and other proprietary information or intellectual property rights owned by any third party into any Invention without the Company’s prior written permission. I have attached hereto as </w:t>
      </w:r>
      <w:r>
        <w:rPr>
          <w:rFonts w:ascii="Times New Roman;serif" w:hAnsi="Times New Roman;serif"/>
          <w:b w:val="false"/>
          <w:color w:val="000000"/>
          <w:sz w:val="22"/>
          <w:u w:val="single"/>
        </w:rPr>
        <w:t>Exhibit A</w:t>
      </w:r>
      <w:r>
        <w:rPr>
          <w:rFonts w:ascii="Times New Roman;serif" w:hAnsi="Times New Roman;serif"/>
          <w:b w:val="false"/>
          <w:color w:val="000000"/>
          <w:sz w:val="22"/>
        </w:rPr>
        <w:t xml:space="preserve">, a list describing all Prior Inventions that relate to the Company’s current or anticipated business, products, or research and development or, if no such list is attached, I represent and warrant that there are no such Prior Inventions. Furthermore, I represent and warrant that if any Prior Inventions are included on </w:t>
      </w:r>
      <w:r>
        <w:rPr>
          <w:rFonts w:ascii="Times New Roman;serif" w:hAnsi="Times New Roman;serif"/>
          <w:b w:val="false"/>
          <w:color w:val="000000"/>
          <w:sz w:val="22"/>
          <w:u w:val="single"/>
        </w:rPr>
        <w:t>Exhibit A</w:t>
      </w:r>
      <w:r>
        <w:rPr>
          <w:rFonts w:ascii="Times New Roman;serif" w:hAnsi="Times New Roman;serif"/>
          <w:b w:val="false"/>
          <w:color w:val="000000"/>
          <w:sz w:val="22"/>
        </w:rPr>
        <w:t>, they will not materially affect my ability to perform all obligations under this Agreement.</w:t>
      </w:r>
    </w:p>
    <w:p>
      <w:pPr>
        <w:pStyle w:val="TextBody"/>
        <w:bidi w:val="0"/>
        <w:spacing w:lineRule="auto" w:line="288" w:before="240" w:after="283"/>
        <w:ind w:left="0" w:right="0" w:firstLine="719"/>
        <w:jc w:val="both"/>
        <w:rPr/>
      </w:pPr>
      <w:r>
        <w:rPr>
          <w:rFonts w:ascii="Times New Roman;serif" w:hAnsi="Times New Roman;serif"/>
          <w:b w:val="false"/>
          <w:i/>
          <w:color w:val="000000"/>
          <w:sz w:val="22"/>
        </w:rPr>
        <w:t>Moral Rights</w:t>
      </w:r>
      <w:r>
        <w:rPr>
          <w:rFonts w:ascii="Times New Roman;serif" w:hAnsi="Times New Roman;serif"/>
          <w:b w:val="false"/>
          <w:color w:val="000000"/>
          <w:sz w:val="22"/>
        </w:rPr>
        <w:t>. Any assignment to the Company of Inventions includes all rights of attribution, paternity, integrity, modification, disclosure and withdrawal, and any other rights throughout the world that may be known as or referred to as “moral rights,” “artist’s rights,” “droit moral,” or the like (collectively, “</w:t>
      </w:r>
      <w:r>
        <w:rPr>
          <w:rFonts w:ascii="Times New Roman;serif" w:hAnsi="Times New Roman;serif"/>
          <w:b/>
          <w:color w:val="000000"/>
          <w:sz w:val="22"/>
        </w:rPr>
        <w:t>Moral Rights</w:t>
      </w:r>
      <w:r>
        <w:rPr>
          <w:color w:val="000000"/>
        </w:rPr>
        <w:t>”</w:t>
      </w:r>
      <w:r>
        <w:rPr>
          <w:rFonts w:ascii="Times New Roman;serif" w:hAnsi="Times New Roman;serif"/>
          <w:b w:val="false"/>
          <w:color w:val="000000"/>
          <w:sz w:val="22"/>
        </w:rPr>
        <w:t>). To the extent that Moral Rights cannot be assigned under applicable law, I hereby waive and agree not to enforce any and all Moral Rights, including, without limitation, any limitation on subsequent modification, to the extent permitted under applicable law.</w:t>
      </w:r>
    </w:p>
    <w:p>
      <w:pPr>
        <w:pStyle w:val="TextBody"/>
        <w:bidi w:val="0"/>
        <w:spacing w:lineRule="auto" w:line="288" w:before="242" w:after="283"/>
        <w:ind w:left="0" w:right="0" w:firstLine="719"/>
        <w:jc w:val="both"/>
        <w:rPr/>
      </w:pPr>
      <w:r>
        <w:rPr>
          <w:rFonts w:ascii="Times New Roman;serif" w:hAnsi="Times New Roman;serif"/>
          <w:b w:val="false"/>
          <w:i/>
          <w:color w:val="000000"/>
          <w:sz w:val="22"/>
        </w:rPr>
        <w:t>Maintenance of Records</w:t>
      </w:r>
      <w:r>
        <w:rPr>
          <w:rFonts w:ascii="Times New Roman;serif" w:hAnsi="Times New Roman;serif"/>
          <w:b w:val="false"/>
          <w:color w:val="000000"/>
          <w:sz w:val="22"/>
        </w:rPr>
        <w:t>. I agree to keep and maintain adequate, current, accurate, and authentic written records of all Inventions made by me (solely or jointly with others) during the term of my employment with the Company. The records will be in the form of notes, sketches, drawings, electronic files, reports, or any other format that may be specified by the Company. As between the Company and myself, the records are and will be available to and remain the sole property of the Company at all times.</w:t>
      </w:r>
    </w:p>
    <w:p>
      <w:pPr>
        <w:pStyle w:val="TextBody"/>
        <w:bidi w:val="0"/>
        <w:spacing w:lineRule="auto" w:line="288" w:before="240" w:after="283"/>
        <w:ind w:left="0" w:right="0" w:firstLine="719"/>
        <w:jc w:val="both"/>
        <w:rPr/>
      </w:pPr>
      <w:r>
        <w:rPr>
          <w:rFonts w:ascii="Times New Roman;serif" w:hAnsi="Times New Roman;serif"/>
          <w:b w:val="false"/>
          <w:i/>
          <w:color w:val="000000"/>
          <w:sz w:val="22"/>
        </w:rPr>
        <w:t>Further Assurances</w:t>
      </w:r>
      <w:r>
        <w:rPr>
          <w:rFonts w:ascii="Times New Roman;serif" w:hAnsi="Times New Roman;serif"/>
          <w:b w:val="false"/>
          <w:color w:val="000000"/>
          <w:sz w:val="22"/>
        </w:rPr>
        <w:t xml:space="preserve">. I agree to assist the Company, or its designee, at the Company’s expense, in every proper way to secure the Company’s rights in the Inventions in any and all countries, including the disclosure to the Company of all pertinent information and data with respect thereto, the execution of all applications, specifications, oaths, assignments, and all other instruments that the Company shall deem proper or necessary in order to apply for, register, obtain, maintain, defend, and enforce such rights, and in order to deliver, assign and convey to the Company, its successors, assigns, and nominees the sole and exclusive rights, title, and interest in and to all Inventions, and testifying in a suit or other proceeding relating to such Inventions. I further agree that my obligations under this </w:t>
      </w:r>
      <w:r>
        <w:rPr>
          <w:rFonts w:ascii="Times New Roman;serif" w:hAnsi="Times New Roman;serif"/>
          <w:b/>
          <w:color w:val="000000"/>
          <w:sz w:val="22"/>
        </w:rPr>
        <w:t xml:space="preserve">Section </w:t>
      </w:r>
      <w:hyperlink w:anchor="i545c791faee34125b64b43588de72a10_1">
        <w:r>
          <w:rPr>
            <w:rStyle w:val="InternetLink"/>
            <w:rFonts w:ascii="Times New Roman;serif" w:hAnsi="Times New Roman;serif"/>
            <w:b/>
            <w:strike w:val="false"/>
            <w:dstrike w:val="false"/>
            <w:color w:val="000000"/>
            <w:sz w:val="22"/>
            <w:u w:val="none"/>
            <w:effect w:val="none"/>
          </w:rPr>
          <w:t>0</w:t>
        </w:r>
      </w:hyperlink>
      <w:r>
        <w:rPr>
          <w:rFonts w:ascii="Times New Roman;serif" w:hAnsi="Times New Roman;serif"/>
          <w:b/>
          <w:color w:val="000000"/>
          <w:sz w:val="22"/>
        </w:rPr>
        <w:t xml:space="preserve"> </w:t>
      </w:r>
      <w:r>
        <w:rPr>
          <w:rFonts w:ascii="Times New Roman;serif" w:hAnsi="Times New Roman;serif"/>
          <w:b w:val="false"/>
          <w:color w:val="000000"/>
          <w:sz w:val="22"/>
        </w:rPr>
        <w:t>shall continue after the termination of this Agreement.</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6480175" cy="175260"/>
                <wp:effectExtent l="0" t="0" r="0" b="0"/>
                <wp:wrapNone/>
                <wp:docPr id="230" name="Frame2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19"/>
        <w:jc w:val="both"/>
        <w:rPr/>
      </w:pPr>
      <w:r>
        <w:rPr>
          <w:rFonts w:ascii="Times New Roman;serif" w:hAnsi="Times New Roman;serif"/>
          <w:b w:val="false"/>
          <w:i/>
          <w:color w:val="000000"/>
          <w:sz w:val="22"/>
        </w:rPr>
        <w:t>Attorney-in-Fact</w:t>
      </w:r>
      <w:r>
        <w:rPr>
          <w:rFonts w:ascii="Times New Roman;serif" w:hAnsi="Times New Roman;serif"/>
          <w:b w:val="false"/>
          <w:color w:val="000000"/>
          <w:sz w:val="22"/>
        </w:rPr>
        <w:t xml:space="preserve">. I agree that, if the Company is unable because of my unavailability, mental or physical incapacity, or for any other reason to secure my signature with respect to any Inventions, including, without limitation, for the purpose of applying for or pursuing any application for any United States or foreign patents or mask work or copyright registrations covering the Inventions assigned to the Company in </w:t>
      </w:r>
      <w:r>
        <w:rPr>
          <w:rFonts w:ascii="Times New Roman;serif" w:hAnsi="Times New Roman;serif"/>
          <w:b/>
          <w:color w:val="000000"/>
          <w:sz w:val="22"/>
        </w:rPr>
        <w:t xml:space="preserve">Section </w:t>
      </w:r>
      <w:hyperlink w:anchor="i545c791faee34125b64b43588de72a10_1">
        <w:r>
          <w:rPr>
            <w:rStyle w:val="InternetLink"/>
            <w:rFonts w:ascii="Times New Roman;serif" w:hAnsi="Times New Roman;serif"/>
            <w:b/>
            <w:strike w:val="false"/>
            <w:dstrike w:val="false"/>
            <w:color w:val="000000"/>
            <w:sz w:val="22"/>
            <w:u w:val="none"/>
            <w:effect w:val="none"/>
          </w:rPr>
          <w:t>0,</w:t>
        </w:r>
      </w:hyperlink>
      <w:r>
        <w:rPr>
          <w:color w:val="000000"/>
        </w:rPr>
        <w:t xml:space="preserve"> </w:t>
      </w:r>
      <w:r>
        <w:rPr>
          <w:rFonts w:ascii="Times New Roman;serif" w:hAnsi="Times New Roman;serif"/>
          <w:b w:val="false"/>
          <w:color w:val="000000"/>
          <w:sz w:val="22"/>
        </w:rPr>
        <w:t>then I hereby irrevocably designate and appoint the Company and its duly authorized officers and agents as my agent and attorney-in-fact, to act for and on my behalf to execute and file any papers and oaths, and to do all other lawfully permitted acts with respect to such Inventions to further the prosecution and issuance of patents, copyright and mask work registrations with the same legal force and effect as if executed by me. This power of attorney shall be deemed coupled with an interest, and shall be irrevocable.</w:t>
      </w:r>
    </w:p>
    <w:p>
      <w:pPr>
        <w:pStyle w:val="TextBody"/>
        <w:bidi w:val="0"/>
        <w:spacing w:lineRule="auto" w:line="288" w:before="242" w:after="283"/>
        <w:ind w:left="0" w:right="0" w:firstLine="719"/>
        <w:jc w:val="both"/>
        <w:rPr/>
      </w:pPr>
      <w:r>
        <w:rPr>
          <w:rFonts w:ascii="Times New Roman;serif" w:hAnsi="Times New Roman;serif"/>
          <w:b w:val="false"/>
          <w:i/>
          <w:color w:val="000000"/>
          <w:sz w:val="22"/>
        </w:rPr>
        <w:t>Exception to Assignments</w:t>
      </w:r>
      <w:r>
        <w:rPr>
          <w:rFonts w:ascii="Times New Roman;serif" w:hAnsi="Times New Roman;serif"/>
          <w:b w:val="false"/>
          <w:color w:val="000000"/>
          <w:sz w:val="22"/>
        </w:rPr>
        <w:t xml:space="preserve">. I understand that the provisions of this Agreement requiring assignment of Inventions to the Company do not apply to any Invention that I have developed entirely on my own time without using the Company’s equipment, supplies, facilities, trade secret information or Company Confidential Information (an “Other Invention”) except for those Other Inventions that either (i) relate at the time of conception or reduction to practice of such Other Invention to the Company’s business, or actual or anticipated research or development of the Company or (ii) result from or relate to any work that I performed for the Company or to any Company Confidential Information or Inventions, or if I work for the Company in a state covered by one of the state-specific statutes in </w:t>
      </w:r>
      <w:r>
        <w:rPr>
          <w:rFonts w:ascii="Times New Roman;serif" w:hAnsi="Times New Roman;serif"/>
          <w:b w:val="false"/>
          <w:color w:val="000000"/>
          <w:sz w:val="22"/>
          <w:u w:val="single"/>
        </w:rPr>
        <w:t>Exhibit E</w:t>
      </w:r>
      <w:r>
        <w:rPr>
          <w:color w:val="000000"/>
        </w:rPr>
        <w:t xml:space="preserve"> </w:t>
      </w:r>
      <w:r>
        <w:rPr>
          <w:rFonts w:ascii="Times New Roman;serif" w:hAnsi="Times New Roman;serif"/>
          <w:b w:val="false"/>
          <w:color w:val="000000"/>
          <w:sz w:val="22"/>
        </w:rPr>
        <w:t xml:space="preserve">at the time such Other Invention is conceived or reduced to practice, except for those Other Inventions that qualify fully under the provisions of the applicable state-specific statute in </w:t>
      </w:r>
      <w:r>
        <w:rPr>
          <w:rFonts w:ascii="Times New Roman;serif" w:hAnsi="Times New Roman;serif"/>
          <w:b w:val="false"/>
          <w:color w:val="000000"/>
          <w:sz w:val="22"/>
          <w:u w:val="single"/>
        </w:rPr>
        <w:t>Exhibit E</w:t>
      </w:r>
      <w:r>
        <w:rPr>
          <w:rFonts w:ascii="Times New Roman;serif" w:hAnsi="Times New Roman;serif"/>
          <w:b w:val="false"/>
          <w:color w:val="000000"/>
          <w:sz w:val="22"/>
        </w:rPr>
        <w:t>. I will not incorporate, or permit to be incorporated, any Other Invention owned by me or in which I have an interest into a Company product, process or service without the Company’s prior written consent. Notwithstanding the foregoing sentence, if, in the course of my employment with the Company, I incorporate into a Company product, process, or service an Other Invention owned by me or in which I have an interest, I hereby grant to the Company a nonexclusive, royalty-free, fully paid-up, irrevocable, perpetual, transferable, sublicensable, worldwide license to reproduce, make derivative works of, distribute, perform, display, import, make, have made, modify, use, sell, offer to sell, and exploit in any other way such Other Invention, and to practice any method related thereto.</w:t>
      </w:r>
    </w:p>
    <w:p>
      <w:pPr>
        <w:pStyle w:val="TextBody"/>
        <w:bidi w:val="0"/>
        <w:spacing w:lineRule="auto" w:line="288" w:before="244" w:after="283"/>
        <w:jc w:val="left"/>
        <w:rPr>
          <w:rFonts w:ascii="Times New Roman;serif" w:hAnsi="Times New Roman;serif"/>
          <w:b/>
          <w:color w:val="000000"/>
          <w:sz w:val="22"/>
          <w:u w:val="single"/>
        </w:rPr>
      </w:pPr>
      <w:r>
        <w:rPr>
          <w:rFonts w:ascii="Times New Roman;serif" w:hAnsi="Times New Roman;serif"/>
          <w:b/>
          <w:color w:val="000000"/>
          <w:sz w:val="22"/>
          <w:u w:val="single"/>
        </w:rPr>
        <w:t>Conflicting Obligations</w:t>
      </w:r>
    </w:p>
    <w:p>
      <w:pPr>
        <w:pStyle w:val="TextBody"/>
        <w:bidi w:val="0"/>
        <w:spacing w:lineRule="auto" w:line="288" w:before="237" w:after="283"/>
        <w:ind w:left="0" w:right="0" w:firstLine="719"/>
        <w:jc w:val="both"/>
        <w:rPr/>
      </w:pPr>
      <w:r>
        <w:rPr>
          <w:rFonts w:ascii="Times New Roman;serif" w:hAnsi="Times New Roman;serif"/>
          <w:b w:val="false"/>
          <w:i/>
          <w:color w:val="000000"/>
          <w:sz w:val="22"/>
        </w:rPr>
        <w:t xml:space="preserve">Current Obligations. </w:t>
      </w:r>
      <w:r>
        <w:rPr>
          <w:rFonts w:ascii="Times New Roman;serif" w:hAnsi="Times New Roman;serif"/>
          <w:b w:val="false"/>
          <w:color w:val="000000"/>
          <w:sz w:val="22"/>
        </w:rPr>
        <w:t>I agree that during the term of my employment with the Company, I will not engage in or undertake any other employment, occupation, consulting relationship, or commitment that is directly related to the business in which the Company is now involved or becomes involved or has plans to become involved, nor will I engage in any other activities that conflict with my obligations to the Company.</w:t>
      </w:r>
    </w:p>
    <w:p>
      <w:pPr>
        <w:pStyle w:val="TextBody"/>
        <w:bidi w:val="0"/>
        <w:spacing w:lineRule="auto" w:line="288" w:before="238" w:after="283"/>
        <w:ind w:left="0" w:right="0" w:firstLine="719"/>
        <w:jc w:val="both"/>
        <w:rPr/>
      </w:pPr>
      <w:r>
        <w:rPr>
          <w:rFonts w:ascii="Times New Roman;serif" w:hAnsi="Times New Roman;serif"/>
          <w:b w:val="false"/>
          <w:i/>
          <w:color w:val="000000"/>
          <w:sz w:val="22"/>
        </w:rPr>
        <w:t>Prior Relationships</w:t>
      </w:r>
      <w:r>
        <w:rPr>
          <w:rFonts w:ascii="Times New Roman;serif" w:hAnsi="Times New Roman;serif"/>
          <w:b w:val="false"/>
          <w:color w:val="000000"/>
          <w:sz w:val="22"/>
        </w:rPr>
        <w:t xml:space="preserve">. Without limiting </w:t>
      </w:r>
      <w:r>
        <w:rPr>
          <w:rFonts w:ascii="Times New Roman;serif" w:hAnsi="Times New Roman;serif"/>
          <w:b/>
          <w:color w:val="000000"/>
          <w:sz w:val="22"/>
        </w:rPr>
        <w:t xml:space="preserve">Section </w:t>
      </w:r>
      <w:hyperlink w:anchor="i545c791faee34125b64b43588de72a10_1">
        <w:r>
          <w:rPr>
            <w:rStyle w:val="InternetLink"/>
            <w:rFonts w:ascii="Times New Roman;serif" w:hAnsi="Times New Roman;serif"/>
            <w:b/>
            <w:strike w:val="false"/>
            <w:dstrike w:val="false"/>
            <w:color w:val="000000"/>
            <w:sz w:val="22"/>
            <w:u w:val="none"/>
            <w:effect w:val="none"/>
          </w:rPr>
          <w:t>0,</w:t>
        </w:r>
      </w:hyperlink>
      <w:r>
        <w:rPr>
          <w:color w:val="000000"/>
        </w:rPr>
        <w:t xml:space="preserve"> </w:t>
      </w:r>
      <w:r>
        <w:rPr>
          <w:rFonts w:ascii="Times New Roman;serif" w:hAnsi="Times New Roman;serif"/>
          <w:b w:val="false"/>
          <w:color w:val="000000"/>
          <w:sz w:val="22"/>
        </w:rPr>
        <w:t xml:space="preserve">I represent and warrant that I have no other agreements, relationships, or commitments to any other person or entity that conflict with the provisions of this Agreement, my obligations to the Company under this Agreement, or my ability to become employed and perform the services for which I am being hired by the Company. I further agree that if I have signed a confidentiality agreement or similar type of agreement with any former employer or other entity, I will comply with the terms of any such agreement to the extent that its terms are lawful under applicable law. I represent and warrant that after undertaking a careful search (including searches of my computers, cell phones, electronic devices, and documents), I have returned all property and confidential information belonging to all prior employers (and/or other third parties I have performed services for in accordance with the terms of my applicable agreement). Moreover, I agree to fully indemnify the Company, its directors, officers, agents, employees, investors, shareholders, administrators, affiliates, divisions, subsidiaries, predecessor and successor corporations, and assigns for all verdicts, judgments, settlements, and other losses incurred by any of them resulting from my breach of my obligations under any agreement with a third party to which I am a party or obligation to which I am bound, as well as any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6480175" cy="175260"/>
                <wp:effectExtent l="0" t="0" r="0" b="0"/>
                <wp:wrapNone/>
                <wp:docPr id="231" name="Frame2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38" w:after="283"/>
        <w:jc w:val="both"/>
        <w:rPr>
          <w:rFonts w:ascii="Times New Roman;serif" w:hAnsi="Times New Roman;serif"/>
          <w:b w:val="false"/>
          <w:color w:val="000000"/>
          <w:sz w:val="22"/>
        </w:rPr>
      </w:pPr>
      <w:r>
        <w:rPr>
          <w:rFonts w:ascii="Times New Roman;serif" w:hAnsi="Times New Roman;serif"/>
          <w:b w:val="false"/>
          <w:color w:val="000000"/>
          <w:sz w:val="22"/>
        </w:rPr>
        <w:t>reasonable attorneys’ fees and costs if the plaintiff is the prevailing party in such an action, except as prohibited by law.</w:t>
      </w:r>
    </w:p>
    <w:p>
      <w:pPr>
        <w:pStyle w:val="TextBody"/>
        <w:bidi w:val="0"/>
        <w:spacing w:lineRule="auto" w:line="288" w:before="246" w:after="283"/>
        <w:jc w:val="left"/>
        <w:rPr>
          <w:rFonts w:ascii="Times New Roman;serif" w:hAnsi="Times New Roman;serif"/>
          <w:b/>
          <w:color w:val="000000"/>
          <w:sz w:val="22"/>
          <w:u w:val="single"/>
        </w:rPr>
      </w:pPr>
      <w:r>
        <w:rPr>
          <w:rFonts w:ascii="Times New Roman;serif" w:hAnsi="Times New Roman;serif"/>
          <w:b/>
          <w:color w:val="000000"/>
          <w:sz w:val="22"/>
          <w:u w:val="single"/>
        </w:rPr>
        <w:t>Company Property and Materials</w:t>
      </w:r>
    </w:p>
    <w:p>
      <w:pPr>
        <w:pStyle w:val="TextBody"/>
        <w:bidi w:val="0"/>
        <w:spacing w:before="28" w:after="283"/>
        <w:jc w:val="left"/>
        <w:rPr/>
      </w:pPr>
      <w:r>
        <w:rPr/>
      </w:r>
    </w:p>
    <w:p>
      <w:pPr>
        <w:pStyle w:val="TextBody"/>
        <w:bidi w:val="0"/>
        <w:spacing w:lineRule="auto" w:line="288" w:before="0" w:after="0"/>
        <w:ind w:left="0" w:right="0" w:firstLine="719"/>
        <w:jc w:val="both"/>
        <w:rPr/>
      </w:pPr>
      <w:r>
        <w:rPr>
          <w:rFonts w:ascii="Times New Roman;serif" w:hAnsi="Times New Roman;serif"/>
          <w:b w:val="false"/>
          <w:i/>
          <w:color w:val="000000"/>
          <w:sz w:val="22"/>
        </w:rPr>
        <w:t>Definition of Electronic Media Equipment and Electronic Media Systems</w:t>
      </w:r>
      <w:r>
        <w:rPr>
          <w:rFonts w:ascii="Times New Roman;serif" w:hAnsi="Times New Roman;serif"/>
          <w:b w:val="false"/>
          <w:color w:val="000000"/>
          <w:sz w:val="22"/>
        </w:rPr>
        <w:t xml:space="preserve">. I understand that </w:t>
      </w:r>
      <w:r>
        <w:rPr>
          <w:color w:val="000000"/>
        </w:rPr>
        <w:t>“</w:t>
      </w:r>
      <w:r>
        <w:rPr>
          <w:rFonts w:ascii="Times New Roman;serif" w:hAnsi="Times New Roman;serif"/>
          <w:b/>
          <w:color w:val="000000"/>
          <w:sz w:val="22"/>
        </w:rPr>
        <w:t xml:space="preserve">Electronic Media Equipment” </w:t>
      </w:r>
      <w:r>
        <w:rPr>
          <w:rFonts w:ascii="Times New Roman;serif" w:hAnsi="Times New Roman;serif"/>
          <w:b w:val="false"/>
          <w:color w:val="000000"/>
          <w:sz w:val="22"/>
        </w:rPr>
        <w:t xml:space="preserve">includes, but is not limited to, computers, external storage devices, thumb drives, mobile devices (including, but not limited to smart phones, tablets, and e-readers), telephone equipment, and other electronic media devices. I understand that </w:t>
      </w:r>
      <w:r>
        <w:rPr>
          <w:color w:val="000000"/>
        </w:rPr>
        <w:t>“</w:t>
      </w:r>
      <w:r>
        <w:rPr>
          <w:rFonts w:ascii="Times New Roman;serif" w:hAnsi="Times New Roman;serif"/>
          <w:b/>
          <w:color w:val="000000"/>
          <w:sz w:val="22"/>
        </w:rPr>
        <w:t xml:space="preserve">Electronic Media Systems” </w:t>
      </w:r>
      <w:r>
        <w:rPr>
          <w:rFonts w:ascii="Times New Roman;serif" w:hAnsi="Times New Roman;serif"/>
          <w:b w:val="false"/>
          <w:color w:val="000000"/>
          <w:sz w:val="22"/>
        </w:rPr>
        <w:t>includes, but is not limited to, computer servers, messaging and email systems or accounts, applications for computers or mobile devices, and web-based services (including cloud-based information storage accounts).</w:t>
      </w:r>
    </w:p>
    <w:p>
      <w:pPr>
        <w:pStyle w:val="TextBody"/>
        <w:bidi w:val="0"/>
        <w:spacing w:lineRule="auto" w:line="288" w:before="241" w:after="283"/>
        <w:ind w:left="0" w:right="0" w:firstLine="719"/>
        <w:jc w:val="both"/>
        <w:rPr/>
      </w:pPr>
      <w:r>
        <w:rPr>
          <w:rFonts w:ascii="Times New Roman;serif" w:hAnsi="Times New Roman;serif"/>
          <w:b w:val="false"/>
          <w:i/>
          <w:color w:val="000000"/>
          <w:sz w:val="22"/>
        </w:rPr>
        <w:t xml:space="preserve">Return of Company Property. </w:t>
      </w:r>
      <w:r>
        <w:rPr>
          <w:rFonts w:ascii="Times New Roman;serif" w:hAnsi="Times New Roman;serif"/>
          <w:b w:val="false"/>
          <w:color w:val="000000"/>
          <w:sz w:val="22"/>
        </w:rPr>
        <w:t xml:space="preserve">I understand that anything that I created or worked on for the Company while working for the Company belongs solely to the Company and that I cannot remove, retain, or use such information without the Company’s express written permission. Accordingly, upon separation from employment with the Company or upon the Company’s request at any other time, I will immediately deliver to the Company, and will not keep in my possession, recreate, or deliver to anyone else, any and all Company property, including, but not limited to, Company Confidential Information, Associated Third Party Confidential Information, all Company equipment including all Company Electronic Media Equipment, all tangible embodiments of the Inventions, all electronically stored information and passwords to access such information, Company credit cards, records, data, notes, notebooks, reports, files, proposals, lists, correspondence, specifications, drawings, blueprints, sketches, materials, photographs, charts, any other documents and property, and reproductions of any of the foregoing items, including, without limitation, those records maintained pursuant to </w:t>
      </w:r>
      <w:r>
        <w:rPr>
          <w:rFonts w:ascii="Times New Roman;serif" w:hAnsi="Times New Roman;serif"/>
          <w:b/>
          <w:color w:val="000000"/>
          <w:sz w:val="22"/>
        </w:rPr>
        <w:t xml:space="preserve">Section </w:t>
      </w:r>
      <w:hyperlink w:anchor="i545c791faee34125b64b43588de72a10_1">
        <w:r>
          <w:rPr>
            <w:rStyle w:val="InternetLink"/>
            <w:rFonts w:ascii="Times New Roman;serif" w:hAnsi="Times New Roman;serif"/>
            <w:b/>
            <w:strike w:val="false"/>
            <w:dstrike w:val="false"/>
            <w:color w:val="000000"/>
            <w:sz w:val="22"/>
            <w:u w:val="none"/>
            <w:effect w:val="none"/>
          </w:rPr>
          <w:t>0.</w:t>
        </w:r>
      </w:hyperlink>
      <w:r>
        <w:rPr>
          <w:color w:val="000000"/>
        </w:rPr>
        <w:t xml:space="preserve"> </w:t>
      </w:r>
      <w:r>
        <w:rPr>
          <w:rFonts w:ascii="Times New Roman;serif" w:hAnsi="Times New Roman;serif"/>
          <w:b w:val="false"/>
          <w:color w:val="000000"/>
          <w:sz w:val="22"/>
        </w:rPr>
        <w:t>Notwithstanding the foregoing, I understand that I am allowed to keep a copy of the Company’s employee handbook and personnel records relating to my employment.</w:t>
      </w:r>
    </w:p>
    <w:p>
      <w:pPr>
        <w:pStyle w:val="TextBody"/>
        <w:bidi w:val="0"/>
        <w:spacing w:lineRule="auto" w:line="288" w:before="241" w:after="283"/>
        <w:ind w:left="0" w:right="0" w:firstLine="719"/>
        <w:jc w:val="both"/>
        <w:rPr/>
      </w:pPr>
      <w:r>
        <w:rPr>
          <w:rFonts w:ascii="Times New Roman;serif" w:hAnsi="Times New Roman;serif"/>
          <w:b w:val="false"/>
          <w:i/>
          <w:color w:val="000000"/>
          <w:sz w:val="22"/>
        </w:rPr>
        <w:t xml:space="preserve">Return of Company Information on Company Electronic Media Equipment. </w:t>
      </w:r>
      <w:r>
        <w:rPr>
          <w:rFonts w:ascii="Times New Roman;serif" w:hAnsi="Times New Roman;serif"/>
          <w:b w:val="false"/>
          <w:color w:val="000000"/>
          <w:sz w:val="22"/>
        </w:rPr>
        <w:t>In connection with my obligation to return information to the Company, I agree that I will not copy, delete, or alter any information, including personal information voluntarily created or stored, contained in Company Electronic Media Equipment before I return the information to the Company.</w:t>
      </w:r>
    </w:p>
    <w:p>
      <w:pPr>
        <w:pStyle w:val="TextBody"/>
        <w:bidi w:val="0"/>
        <w:spacing w:lineRule="auto" w:line="288" w:before="238" w:after="283"/>
        <w:ind w:left="0" w:right="0" w:firstLine="719"/>
        <w:jc w:val="both"/>
        <w:rPr/>
      </w:pPr>
      <w:r>
        <w:rPr>
          <w:rFonts w:ascii="Times New Roman;serif" w:hAnsi="Times New Roman;serif"/>
          <w:b w:val="false"/>
          <w:i/>
          <w:color w:val="000000"/>
          <w:sz w:val="22"/>
        </w:rPr>
        <w:t>Return of Company Information on Personal Electronic Media Equipment</w:t>
      </w:r>
      <w:r>
        <w:rPr>
          <w:rFonts w:ascii="Times New Roman;serif" w:hAnsi="Times New Roman;serif"/>
          <w:b w:val="false"/>
          <w:color w:val="000000"/>
          <w:sz w:val="22"/>
        </w:rPr>
        <w:t>. In addition, if I have used any personal Electronic Media Equipment or personal Electronic Media Systems to create, receive, store, review, prepare or transmit any Company information, including but not limited to, Company Confidential Information, I agree to make a prompt and reasonable search for such information in good faith, including reviewing any personal Electronic Media Equipment or personal Electronic Media Systems to locate such information and if I locate such information I agree to notify the Company of that fact and then provide the Company with a computer-useable copy of all such Company information from those equipment and systems. I agree to cooperate reasonably with the Company to verify that the necessary copying is completed (including upon request providing a sworn declaration confirming the return of property and deletion of information), and, upon confirmation of compliance by the Company, I agree to delete and expunge all Company information.</w:t>
      </w:r>
    </w:p>
    <w:p>
      <w:pPr>
        <w:pStyle w:val="TextBody"/>
        <w:bidi w:val="0"/>
        <w:spacing w:lineRule="auto" w:line="288" w:before="242" w:after="283"/>
        <w:ind w:left="0" w:right="0" w:firstLine="719"/>
        <w:jc w:val="both"/>
        <w:rPr/>
      </w:pPr>
      <w:r>
        <w:rPr>
          <w:rFonts w:ascii="Times New Roman;serif" w:hAnsi="Times New Roman;serif"/>
          <w:b w:val="false"/>
          <w:i/>
          <w:color w:val="000000"/>
          <w:sz w:val="22"/>
        </w:rPr>
        <w:t xml:space="preserve">No Expectation of Privacy in Company Property. </w:t>
      </w:r>
      <w:r>
        <w:rPr>
          <w:rFonts w:ascii="Times New Roman;serif" w:hAnsi="Times New Roman;serif"/>
          <w:b w:val="false"/>
          <w:color w:val="000000"/>
          <w:sz w:val="22"/>
        </w:rPr>
        <w:t xml:space="preserve">I understand that I have no expectation of privacy in Company property, and I agree that any Company property is subject to inspection by Company personnel at any time with or without further notice. As to any personal Electronic Media Equipment or personal Electronic Media Systems that I have used for Company purposes, I agree that the Company, at its sole discretion, may have reasonable access, as determined by the Company in good faith, to such personal Electronic Media Equipment or personal Electronic Media Systems to review, retrieve, destroy, or ensure the permanent deletion of Company information from such equipment or systems or to take such other actions necessary to protect the Company or Company property, as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6480175" cy="175260"/>
                <wp:effectExtent l="0" t="0" r="0" b="0"/>
                <wp:wrapNone/>
                <wp:docPr id="232" name="Frame2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2" w:after="283"/>
        <w:jc w:val="both"/>
        <w:rPr/>
      </w:pPr>
      <w:r>
        <w:rPr>
          <w:rFonts w:ascii="Times New Roman;serif" w:hAnsi="Times New Roman;serif"/>
          <w:b w:val="false"/>
          <w:color w:val="000000"/>
          <w:sz w:val="22"/>
        </w:rPr>
        <w:t xml:space="preserve">determined by the Company reasonably and in good faith. I also consent to an exit interview and an audit to confirm my compliance with this </w:t>
      </w:r>
      <w:r>
        <w:rPr>
          <w:rFonts w:ascii="Times New Roman;serif" w:hAnsi="Times New Roman;serif"/>
          <w:b/>
          <w:color w:val="000000"/>
          <w:sz w:val="22"/>
        </w:rPr>
        <w:t>Section 5</w:t>
      </w:r>
      <w:r>
        <w:rPr>
          <w:rFonts w:ascii="Times New Roman;serif" w:hAnsi="Times New Roman;serif"/>
          <w:b w:val="false"/>
          <w:color w:val="000000"/>
          <w:sz w:val="22"/>
        </w:rPr>
        <w:t xml:space="preserve">, and I will certify in writing that I have complied with the requirements of this </w:t>
      </w:r>
      <w:r>
        <w:rPr>
          <w:rFonts w:ascii="Times New Roman;serif" w:hAnsi="Times New Roman;serif"/>
          <w:b/>
          <w:color w:val="000000"/>
          <w:sz w:val="22"/>
        </w:rPr>
        <w:t>Section 5</w:t>
      </w:r>
      <w:r>
        <w:rPr>
          <w:rFonts w:ascii="Times New Roman;serif" w:hAnsi="Times New Roman;serif"/>
          <w:b w:val="false"/>
          <w:color w:val="000000"/>
          <w:sz w:val="22"/>
        </w:rPr>
        <w:t>.</w:t>
      </w:r>
    </w:p>
    <w:p>
      <w:pPr>
        <w:pStyle w:val="TextBody"/>
        <w:bidi w:val="0"/>
        <w:spacing w:lineRule="auto" w:line="288" w:before="245" w:after="283"/>
        <w:jc w:val="left"/>
        <w:rPr>
          <w:rFonts w:ascii="Times New Roman;serif" w:hAnsi="Times New Roman;serif"/>
          <w:b/>
          <w:color w:val="000000"/>
          <w:sz w:val="22"/>
          <w:u w:val="single"/>
        </w:rPr>
      </w:pPr>
      <w:r>
        <w:rPr>
          <w:rFonts w:ascii="Times New Roman;serif" w:hAnsi="Times New Roman;serif"/>
          <w:b/>
          <w:color w:val="000000"/>
          <w:sz w:val="22"/>
          <w:u w:val="single"/>
        </w:rPr>
        <w:t>Termination Obligations</w:t>
      </w:r>
    </w:p>
    <w:p>
      <w:pPr>
        <w:pStyle w:val="TextBody"/>
        <w:bidi w:val="0"/>
        <w:spacing w:lineRule="auto" w:line="288" w:before="236" w:after="283"/>
        <w:ind w:left="0" w:right="0" w:firstLine="719"/>
        <w:jc w:val="both"/>
        <w:rPr/>
      </w:pPr>
      <w:r>
        <w:rPr>
          <w:rFonts w:ascii="Times New Roman;serif" w:hAnsi="Times New Roman;serif"/>
          <w:b w:val="false"/>
          <w:color w:val="000000"/>
          <w:sz w:val="22"/>
        </w:rPr>
        <w:t xml:space="preserve">Upon separation from employment with the Company, I agree to: (i) immediately update all of my social media accounts, including but not limited to Facebook, LinkedIn, and Twitter, to delete any information, assertions, or suggestions to the effect that I am a current employee of the Company or am otherwise currently affiliated with the Company in any way; and (ii) immediately sign and deliver to the Company the “Termination Certification” attached hereto as </w:t>
      </w:r>
      <w:r>
        <w:rPr>
          <w:rFonts w:ascii="Times New Roman;serif" w:hAnsi="Times New Roman;serif"/>
          <w:b w:val="false"/>
          <w:color w:val="000000"/>
          <w:sz w:val="22"/>
          <w:u w:val="single"/>
        </w:rPr>
        <w:t>Exhibit B</w:t>
      </w:r>
      <w:r>
        <w:rPr>
          <w:rFonts w:ascii="Times New Roman;serif" w:hAnsi="Times New Roman;serif"/>
          <w:b w:val="false"/>
          <w:color w:val="000000"/>
          <w:sz w:val="22"/>
        </w:rPr>
        <w:t>.</w:t>
      </w:r>
    </w:p>
    <w:p>
      <w:pPr>
        <w:pStyle w:val="TextBody"/>
        <w:bidi w:val="0"/>
        <w:spacing w:before="38" w:after="283"/>
        <w:jc w:val="left"/>
        <w:rPr/>
      </w:pPr>
      <w:r>
        <w:rPr/>
      </w:r>
    </w:p>
    <w:p>
      <w:pPr>
        <w:pStyle w:val="TextBody"/>
        <w:bidi w:val="0"/>
        <w:spacing w:lineRule="auto" w:line="288" w:before="0" w:after="0"/>
        <w:jc w:val="left"/>
        <w:rPr>
          <w:rFonts w:ascii="Times New Roman;serif" w:hAnsi="Times New Roman;serif"/>
          <w:b/>
          <w:color w:val="000000"/>
          <w:sz w:val="22"/>
          <w:u w:val="single"/>
        </w:rPr>
      </w:pPr>
      <w:r>
        <w:rPr>
          <w:rFonts w:ascii="Times New Roman;serif" w:hAnsi="Times New Roman;serif"/>
          <w:b/>
          <w:color w:val="000000"/>
          <w:sz w:val="22"/>
          <w:u w:val="single"/>
        </w:rPr>
        <w:t>Covenant Not to Compete and No Solicitation</w:t>
      </w:r>
    </w:p>
    <w:p>
      <w:pPr>
        <w:pStyle w:val="TextBody"/>
        <w:bidi w:val="0"/>
        <w:spacing w:before="28" w:after="283"/>
        <w:jc w:val="left"/>
        <w:rPr/>
      </w:pPr>
      <w:r>
        <w:rPr/>
      </w:r>
    </w:p>
    <w:p>
      <w:pPr>
        <w:pStyle w:val="TextBody"/>
        <w:bidi w:val="0"/>
        <w:spacing w:lineRule="auto" w:line="288" w:before="0" w:after="0"/>
        <w:ind w:left="0" w:right="0" w:firstLine="719"/>
        <w:jc w:val="both"/>
        <w:rPr/>
      </w:pPr>
      <w:r>
        <w:rPr>
          <w:rFonts w:ascii="Times New Roman;serif" w:hAnsi="Times New Roman;serif"/>
          <w:b w:val="false"/>
          <w:color w:val="000000"/>
          <w:sz w:val="24"/>
        </w:rPr>
        <w:t>A.</w:t>
      </w:r>
      <w:r>
        <w:rPr>
          <w:rFonts w:ascii="Times New Roman;serif" w:hAnsi="Times New Roman;serif"/>
          <w:b w:val="false"/>
          <w:i/>
          <w:color w:val="000000"/>
          <w:sz w:val="22"/>
        </w:rPr>
        <w:t xml:space="preserve">Covenant Not to Compete. </w:t>
      </w:r>
      <w:r>
        <w:rPr>
          <w:rFonts w:ascii="Times New Roman;serif" w:hAnsi="Times New Roman;serif"/>
          <w:b w:val="false"/>
          <w:color w:val="000000"/>
          <w:sz w:val="22"/>
        </w:rPr>
        <w:t>I agree that during the course of my employment and for a period of twelve (12) months immediately following the termination of my relationship with the Company, whether I resign voluntarily or am terminated by the Company involuntarily, I will not, without the prior written consent of the Company, whether paid or not: (i) serve as a partner, principal, licensor, licensee, employee, consultant, officer, director, manager, agent, affiliate, representative, advisor, promoter, associate, investor, or otherwise for, (ii) directly or indirectly, own, purchase, organize or take preparatory steps for the organization of, or (iii) build, design, finance, acquire, lease, operate, manage, control, invest in, work or consult for or otherwise join, participate in or affiliate myself with, any business whose business, products or operations are in any respect involved in the Covered Business. For the purposes of this Agreement, “</w:t>
      </w:r>
      <w:r>
        <w:rPr>
          <w:rFonts w:ascii="Times New Roman;serif" w:hAnsi="Times New Roman;serif"/>
          <w:b/>
          <w:color w:val="000000"/>
          <w:sz w:val="22"/>
        </w:rPr>
        <w:t>Covered Business</w:t>
      </w:r>
      <w:r>
        <w:rPr>
          <w:color w:val="000000"/>
        </w:rPr>
        <w:t xml:space="preserve">” </w:t>
      </w:r>
      <w:r>
        <w:rPr>
          <w:rFonts w:ascii="Times New Roman;serif" w:hAnsi="Times New Roman;serif"/>
          <w:b w:val="false"/>
          <w:color w:val="000000"/>
          <w:sz w:val="22"/>
        </w:rPr>
        <w:t>shall mean any business in which the Company is engaged or in which the Company has plans to be engaged, or any service that the Company provides or has plans to provide. The foregoing covenant shall cover my activities in every part of the Territory. “</w:t>
      </w:r>
      <w:r>
        <w:rPr>
          <w:rFonts w:ascii="Times New Roman;serif" w:hAnsi="Times New Roman;serif"/>
          <w:b/>
          <w:color w:val="000000"/>
          <w:sz w:val="22"/>
        </w:rPr>
        <w:t>Territory</w:t>
      </w:r>
      <w:r>
        <w:rPr>
          <w:color w:val="000000"/>
        </w:rPr>
        <w:t xml:space="preserve">” </w:t>
      </w:r>
      <w:r>
        <w:rPr>
          <w:rFonts w:ascii="Times New Roman;serif" w:hAnsi="Times New Roman;serif"/>
          <w:b w:val="false"/>
          <w:color w:val="000000"/>
          <w:sz w:val="22"/>
        </w:rPr>
        <w:t>shall mean (i) all counties in the state or commonwealth in which I work for the Company at the commencement of my employment with the Company; (ii) all other states of the United States of America in which the Company provided goods or services, had customers, or otherwise conducted business at any time during the two-year period prior to the date of the termination of my relationship with the Company; and (iii) any other countries from which the Company provided goods or services, had customers, or otherwise conducted business at any time during the two-year period prior to the date of the termination of my relationship with the Company. Should I obtain other employment during my employment with the Company or within twelve (12) months immediately following the termination of my relationship with the Company, I agree to provide written notification to the Company as to the name and address of my new employer, the position that I expect to hold, and a general description of my duties and responsibilities, at least three (3) business days prior to starting such employment.</w:t>
      </w:r>
    </w:p>
    <w:p>
      <w:pPr>
        <w:pStyle w:val="TextBody"/>
        <w:bidi w:val="0"/>
        <w:spacing w:lineRule="auto" w:line="288" w:before="236" w:after="283"/>
        <w:ind w:left="0" w:right="0" w:firstLine="719"/>
        <w:jc w:val="both"/>
        <w:rPr/>
      </w:pPr>
      <w:r>
        <w:rPr>
          <w:rFonts w:ascii="Times New Roman;serif" w:hAnsi="Times New Roman;serif"/>
          <w:b w:val="false"/>
          <w:i/>
          <w:color w:val="000000"/>
          <w:sz w:val="22"/>
        </w:rPr>
        <w:t>This exception applies solely to this letter</w:t>
      </w:r>
      <w:r>
        <w:rPr>
          <w:rFonts w:ascii="Times New Roman;serif" w:hAnsi="Times New Roman;serif"/>
          <w:b w:val="false"/>
          <w:color w:val="000000"/>
          <w:sz w:val="22"/>
        </w:rPr>
        <w:t>. If the employee resigns or is terminated for Cause, they will be required to honor the 12-month non-compete agreement without further pay. If the employee is terminated not for Cause, they will receive continued pay throughout the non-compete period.</w:t>
      </w:r>
    </w:p>
    <w:p>
      <w:pPr>
        <w:pStyle w:val="TextBody"/>
        <w:bidi w:val="0"/>
        <w:spacing w:lineRule="auto" w:line="288" w:before="242" w:after="283"/>
        <w:ind w:left="0" w:right="0" w:firstLine="719"/>
        <w:jc w:val="both"/>
        <w:rPr/>
      </w:pPr>
      <w:r>
        <w:rPr>
          <w:rFonts w:ascii="Times New Roman;serif" w:hAnsi="Times New Roman;serif"/>
          <w:b w:val="false"/>
          <w:i/>
          <w:color w:val="000000"/>
          <w:sz w:val="22"/>
        </w:rPr>
        <w:t>Exception for North Carolina Employees</w:t>
      </w:r>
      <w:r>
        <w:rPr>
          <w:rFonts w:ascii="Times New Roman;serif" w:hAnsi="Times New Roman;serif"/>
          <w:b w:val="false"/>
          <w:color w:val="000000"/>
          <w:sz w:val="22"/>
        </w:rPr>
        <w:t xml:space="preserve">. If I work for the Company in the State of North Carolina at the commencement of my employment with the Company, I acknowledge that limitations in </w:t>
      </w:r>
      <w:r>
        <w:rPr>
          <w:rFonts w:ascii="Times New Roman;serif" w:hAnsi="Times New Roman;serif"/>
          <w:b/>
          <w:color w:val="000000"/>
          <w:sz w:val="22"/>
        </w:rPr>
        <w:t>Section</w:t>
      </w:r>
    </w:p>
    <w:p>
      <w:pPr>
        <w:pStyle w:val="TextBody"/>
        <w:bidi w:val="0"/>
        <w:spacing w:lineRule="auto" w:line="288"/>
        <w:jc w:val="left"/>
        <w:rPr/>
      </w:pPr>
      <w:r>
        <w:rPr>
          <w:rFonts w:ascii="Times New Roman;serif" w:hAnsi="Times New Roman;serif"/>
          <w:b/>
          <w:color w:val="000000"/>
          <w:sz w:val="22"/>
        </w:rPr>
        <w:t xml:space="preserve">7.A. </w:t>
      </w:r>
      <w:r>
        <w:rPr>
          <w:rFonts w:ascii="Times New Roman;serif" w:hAnsi="Times New Roman;serif"/>
          <w:b w:val="false"/>
          <w:color w:val="000000"/>
          <w:sz w:val="22"/>
        </w:rPr>
        <w:t>with respect to my post-employment activities will apply only to post-termination activities in which I participate in the same role or similar scope as in my employment with the Company.</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6480175" cy="175260"/>
                <wp:effectExtent l="0" t="0" r="0" b="0"/>
                <wp:wrapNone/>
                <wp:docPr id="233" name="Frame2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1" w:after="283"/>
        <w:jc w:val="left"/>
        <w:rPr/>
      </w:pPr>
      <w:r>
        <w:rPr/>
      </w:r>
    </w:p>
    <w:p>
      <w:pPr>
        <w:pStyle w:val="TextBody"/>
        <w:bidi w:val="0"/>
        <w:spacing w:lineRule="auto" w:line="288" w:before="0" w:after="0"/>
        <w:jc w:val="left"/>
        <w:rPr>
          <w:rFonts w:ascii="Times New Roman;serif" w:hAnsi="Times New Roman;serif"/>
          <w:b w:val="false"/>
          <w:i/>
          <w:color w:val="000000"/>
          <w:sz w:val="22"/>
        </w:rPr>
      </w:pPr>
      <w:r>
        <w:rPr>
          <w:rFonts w:ascii="Times New Roman;serif" w:hAnsi="Times New Roman;serif"/>
          <w:b w:val="false"/>
          <w:i/>
          <w:color w:val="000000"/>
          <w:sz w:val="22"/>
        </w:rPr>
        <w:t>No Solicitation.</w:t>
      </w:r>
    </w:p>
    <w:p>
      <w:pPr>
        <w:pStyle w:val="TextBody"/>
        <w:bidi w:val="0"/>
        <w:spacing w:lineRule="auto" w:line="288" w:before="240" w:after="283"/>
        <w:ind w:left="0" w:right="0" w:firstLine="719"/>
        <w:jc w:val="both"/>
        <w:rPr/>
      </w:pPr>
      <w:r>
        <w:rPr>
          <w:rFonts w:ascii="Times New Roman;serif" w:hAnsi="Times New Roman;serif"/>
          <w:b w:val="false"/>
          <w:i/>
          <w:color w:val="000000"/>
          <w:sz w:val="22"/>
        </w:rPr>
        <w:t xml:space="preserve">Non-Solicitation of Customers. </w:t>
      </w:r>
      <w:r>
        <w:rPr>
          <w:rFonts w:ascii="Times New Roman;serif" w:hAnsi="Times New Roman;serif"/>
          <w:b w:val="false"/>
          <w:color w:val="000000"/>
          <w:sz w:val="22"/>
        </w:rPr>
        <w:t>I agree that for a period of twelve (12) months immediately following the termination of my relationship with the Company, whether I resign voluntarily or am terminated by the Company involuntarily, I shall not contact, or cause to be contacted, directly or indirectly, or engage in any form of oral, verbal, written, recorded, transcribed, or electronic communication with any Customer for the purposes of conducting business that is competitive or similar to that of the Company or for the purpose of disadvantaging the Company’s business in any way. For the purposes of this Agreement, “</w:t>
      </w:r>
      <w:r>
        <w:rPr>
          <w:rFonts w:ascii="Times New Roman;serif" w:hAnsi="Times New Roman;serif"/>
          <w:b/>
          <w:color w:val="000000"/>
          <w:sz w:val="22"/>
        </w:rPr>
        <w:t>Customer</w:t>
      </w:r>
      <w:r>
        <w:rPr>
          <w:color w:val="000000"/>
        </w:rPr>
        <w:t xml:space="preserve">” </w:t>
      </w:r>
      <w:r>
        <w:rPr>
          <w:rFonts w:ascii="Times New Roman;serif" w:hAnsi="Times New Roman;serif"/>
          <w:b w:val="false"/>
          <w:color w:val="000000"/>
          <w:sz w:val="22"/>
        </w:rPr>
        <w:t>shall mean all persons or entities that have used or inquired of the Company’s services at any time during the two-year period preceding the termination of my employment with the Company. I acknowledge and agree that the Customers did not use or inquire of the Company’s services solely as a result of my efforts, and that the efforts of other Company personnel and resources are responsible for the Company’s relationship with the Customers. I further acknowledge and agree that the identity of the Customers is not readily ascertainable or discoverable through public sources, and that the Company’s list of Customers was cultivated with great effort and secured through the expenditure of considerable time and money by the Company.</w:t>
      </w:r>
    </w:p>
    <w:p>
      <w:pPr>
        <w:pStyle w:val="TextBody"/>
        <w:bidi w:val="0"/>
        <w:spacing w:lineRule="auto" w:line="288" w:before="241" w:after="283"/>
        <w:ind w:left="0" w:right="0" w:firstLine="839"/>
        <w:jc w:val="both"/>
        <w:rPr/>
      </w:pPr>
      <w:r>
        <w:rPr>
          <w:rFonts w:ascii="Times New Roman;serif" w:hAnsi="Times New Roman;serif"/>
          <w:b w:val="false"/>
          <w:i/>
          <w:color w:val="000000"/>
          <w:sz w:val="22"/>
        </w:rPr>
        <w:t>Exception for Missouri Employees</w:t>
      </w:r>
      <w:r>
        <w:rPr>
          <w:rFonts w:ascii="Times New Roman;serif" w:hAnsi="Times New Roman;serif"/>
          <w:b w:val="false"/>
          <w:color w:val="000000"/>
          <w:sz w:val="22"/>
        </w:rPr>
        <w:t xml:space="preserve">. I acknowledge that if I work for the Company in the State of Missouri, then the post-employment restrictions set forth in </w:t>
      </w:r>
      <w:r>
        <w:rPr>
          <w:rFonts w:ascii="Times New Roman;serif" w:hAnsi="Times New Roman;serif"/>
          <w:b/>
          <w:color w:val="000000"/>
          <w:sz w:val="22"/>
        </w:rPr>
        <w:t xml:space="preserve">Section 7.B.(1) </w:t>
      </w:r>
      <w:r>
        <w:rPr>
          <w:rFonts w:ascii="Times New Roman;serif" w:hAnsi="Times New Roman;serif"/>
          <w:b w:val="false"/>
          <w:color w:val="000000"/>
          <w:sz w:val="22"/>
        </w:rPr>
        <w:t>shall not restrict me from providing a service to a Customer if I did not have contact with such Customer during my employment with the Company.</w:t>
      </w:r>
    </w:p>
    <w:p>
      <w:pPr>
        <w:pStyle w:val="TextBody"/>
        <w:bidi w:val="0"/>
        <w:spacing w:lineRule="auto" w:line="288" w:before="241" w:after="283"/>
        <w:ind w:left="0" w:right="0" w:firstLine="719"/>
        <w:jc w:val="both"/>
        <w:rPr/>
      </w:pPr>
      <w:r>
        <w:rPr>
          <w:rFonts w:ascii="Times New Roman;serif" w:hAnsi="Times New Roman;serif"/>
          <w:b w:val="false"/>
          <w:i/>
          <w:color w:val="000000"/>
          <w:sz w:val="22"/>
        </w:rPr>
        <w:t xml:space="preserve">Non-Solicitation of Employees. </w:t>
      </w:r>
      <w:r>
        <w:rPr>
          <w:rFonts w:ascii="Times New Roman;serif" w:hAnsi="Times New Roman;serif"/>
          <w:b w:val="false"/>
          <w:color w:val="000000"/>
          <w:sz w:val="22"/>
        </w:rPr>
        <w:t>I agree that for a period of twelve (12) months immediately following the termination of my relationship with the Company, whether I resign voluntarily or am terminated by the Company involuntarily, I will not directly or indirectly hire, solicit, or recruit, or attempt to hire, solicit, or recruit, any employee of the Company to leave their employment with the Company, nor will I contact any employee of the Company, or cause an employee of the Company to be contacted, for the purpose of leaving employment with the Company.</w:t>
      </w:r>
    </w:p>
    <w:p>
      <w:pPr>
        <w:pStyle w:val="TextBody"/>
        <w:bidi w:val="0"/>
        <w:spacing w:lineRule="auto" w:line="288" w:before="239" w:after="283"/>
        <w:ind w:left="0" w:right="0" w:firstLine="719"/>
        <w:jc w:val="both"/>
        <w:rPr/>
      </w:pPr>
      <w:r>
        <w:rPr>
          <w:rFonts w:ascii="Times New Roman;serif" w:hAnsi="Times New Roman;serif"/>
          <w:b w:val="false"/>
          <w:i/>
          <w:color w:val="000000"/>
          <w:sz w:val="22"/>
        </w:rPr>
        <w:t xml:space="preserve">Non-Solicitation of Others. </w:t>
      </w:r>
      <w:r>
        <w:rPr>
          <w:rFonts w:ascii="Times New Roman;serif" w:hAnsi="Times New Roman;serif"/>
          <w:b w:val="false"/>
          <w:color w:val="000000"/>
          <w:sz w:val="22"/>
        </w:rPr>
        <w:t>I agree that for a period of twelve (12) months immediately following the termination of my relationship with the Company, whether I resign voluntarily or am terminated by the Company involuntarily, I will not solicit, encourage, or induce, or cause to be solicited, encouraged or induced, directly or indirectly, any franchisee, joint venture, supplier, vendor or contractor who conducted business with the Company at any time during the two year period preceding the termination of my employment with the Company, to terminate or adversely modify any business relationship with the Company or not to proceed with, or enter into, any business relationship with the Company, nor shall I otherwise interfere with any business relationship between the Company and any such franchisee, joint venture, supplier, vendor or contractor.</w:t>
      </w:r>
    </w:p>
    <w:p>
      <w:pPr>
        <w:pStyle w:val="TextBody"/>
        <w:bidi w:val="0"/>
        <w:spacing w:lineRule="auto" w:line="288" w:before="242" w:after="283"/>
        <w:ind w:left="0" w:right="0" w:firstLine="719"/>
        <w:jc w:val="both"/>
        <w:rPr/>
      </w:pPr>
      <w:r>
        <w:rPr>
          <w:rFonts w:ascii="Times New Roman;serif" w:hAnsi="Times New Roman;serif"/>
          <w:b w:val="false"/>
          <w:color w:val="000000"/>
          <w:sz w:val="24"/>
        </w:rPr>
        <w:t>B.</w:t>
      </w:r>
      <w:r>
        <w:rPr>
          <w:rFonts w:ascii="Times New Roman;serif" w:hAnsi="Times New Roman;serif"/>
          <w:b w:val="false"/>
          <w:i/>
          <w:color w:val="000000"/>
          <w:sz w:val="22"/>
        </w:rPr>
        <w:t xml:space="preserve">Acknowledgements. </w:t>
      </w:r>
      <w:r>
        <w:rPr>
          <w:rFonts w:ascii="Times New Roman;serif" w:hAnsi="Times New Roman;serif"/>
          <w:b w:val="false"/>
          <w:color w:val="000000"/>
          <w:sz w:val="22"/>
        </w:rPr>
        <w:t xml:space="preserve">I acknowledge that I will derive significant value from the Company’s agreement to provide me with Company Confidential Information to enable me to optimize the performance of my duties to the Company. I further acknowledge that my fulfillment of the obligations contained in this Agreement, including, but not limited to, my obligation neither to disclose nor to use Company Confidential Information other than for the Company’s exclusive benefit and my obligations not to compete and not to solicit contained in subsections A. and B. above, is necessary to protect Company Confidential Information and, consequently, to preserve the value and goodwill of the Company. I also acknowledge the time, geographic and scope limitations of my obligations under subsections A. and B. above are fair and reasonable in all respects, especially in light of the Company’s need to protect Company Confidential Information and the international scope and nature of the Company’s business, and that I will not be precluded from gainful employment if I am obligated not to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6480175" cy="175260"/>
                <wp:effectExtent l="0" t="0" r="0" b="0"/>
                <wp:wrapNone/>
                <wp:docPr id="234" name="Frame2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2" w:after="283"/>
        <w:jc w:val="both"/>
        <w:rPr/>
      </w:pPr>
      <w:r>
        <w:rPr>
          <w:rFonts w:ascii="Times New Roman;serif" w:hAnsi="Times New Roman;serif"/>
          <w:b w:val="false"/>
          <w:color w:val="000000"/>
          <w:sz w:val="22"/>
        </w:rPr>
        <w:t xml:space="preserve">compete with the Company or solicit its customers or others during the period and within the Territory as described above. In the event of my breach or violation of this </w:t>
      </w:r>
      <w:r>
        <w:rPr>
          <w:rFonts w:ascii="Times New Roman;serif" w:hAnsi="Times New Roman;serif"/>
          <w:b/>
          <w:color w:val="000000"/>
          <w:sz w:val="22"/>
        </w:rPr>
        <w:t>Section 7</w:t>
      </w:r>
      <w:r>
        <w:rPr>
          <w:rFonts w:ascii="Times New Roman;serif" w:hAnsi="Times New Roman;serif"/>
          <w:b w:val="false"/>
          <w:color w:val="000000"/>
          <w:sz w:val="22"/>
        </w:rPr>
        <w:t xml:space="preserve">, or good faith allegation by the Company of my breach or violation of this </w:t>
      </w:r>
      <w:r>
        <w:rPr>
          <w:rFonts w:ascii="Times New Roman;serif" w:hAnsi="Times New Roman;serif"/>
          <w:b/>
          <w:color w:val="000000"/>
          <w:sz w:val="22"/>
        </w:rPr>
        <w:t>Section 7</w:t>
      </w:r>
      <w:r>
        <w:rPr>
          <w:rFonts w:ascii="Times New Roman;serif" w:hAnsi="Times New Roman;serif"/>
          <w:b w:val="false"/>
          <w:color w:val="000000"/>
          <w:sz w:val="22"/>
        </w:rPr>
        <w:t xml:space="preserve">, the restricted periods set forth in this </w:t>
      </w:r>
      <w:r>
        <w:rPr>
          <w:rFonts w:ascii="Times New Roman;serif" w:hAnsi="Times New Roman;serif"/>
          <w:b/>
          <w:color w:val="000000"/>
          <w:sz w:val="22"/>
        </w:rPr>
        <w:t xml:space="preserve">Section 7 </w:t>
      </w:r>
      <w:r>
        <w:rPr>
          <w:rFonts w:ascii="Times New Roman;serif" w:hAnsi="Times New Roman;serif"/>
          <w:b w:val="false"/>
          <w:color w:val="000000"/>
          <w:sz w:val="22"/>
        </w:rPr>
        <w:t xml:space="preserve">shall be tolled until such breach or violation, or dispute related to an allegation by the Company that I have breached or violated this </w:t>
      </w:r>
      <w:r>
        <w:rPr>
          <w:rFonts w:ascii="Times New Roman;serif" w:hAnsi="Times New Roman;serif"/>
          <w:b/>
          <w:color w:val="000000"/>
          <w:sz w:val="22"/>
        </w:rPr>
        <w:t>Section 7</w:t>
      </w:r>
      <w:r>
        <w:rPr>
          <w:rFonts w:ascii="Times New Roman;serif" w:hAnsi="Times New Roman;serif"/>
          <w:b w:val="false"/>
          <w:color w:val="000000"/>
          <w:sz w:val="22"/>
        </w:rPr>
        <w:t>, has been duly cured or resolved, as applicable.</w:t>
      </w:r>
    </w:p>
    <w:p>
      <w:pPr>
        <w:pStyle w:val="TextBody"/>
        <w:bidi w:val="0"/>
        <w:spacing w:lineRule="auto" w:line="288" w:before="242" w:after="283"/>
        <w:ind w:left="0" w:right="0" w:firstLine="719"/>
        <w:jc w:val="both"/>
        <w:rPr/>
      </w:pPr>
      <w:r>
        <w:rPr>
          <w:rFonts w:ascii="Times New Roman;serif" w:hAnsi="Times New Roman;serif"/>
          <w:b w:val="false"/>
          <w:i/>
          <w:color w:val="000000"/>
          <w:sz w:val="22"/>
        </w:rPr>
        <w:t>C.Separate Covenants</w:t>
      </w:r>
      <w:r>
        <w:rPr>
          <w:rFonts w:ascii="Times New Roman;serif" w:hAnsi="Times New Roman;serif"/>
          <w:b w:val="false"/>
          <w:color w:val="000000"/>
          <w:sz w:val="22"/>
        </w:rPr>
        <w:t>. The covenants contained in subsections A. and B. above shall be construed as a series of separate covenants, one for each city, county and state of any geographic area in the Territory. Except for geographic coverage, each such separate covenant shall be deemed identical in terms to the covenant contained in subsections A. and B. above. If, in any judicial or arbitral proceeding, a court or arbitrator refuses to enforce any of such separate covenants (or any part thereof), then such unenforceable covenant (or such part) shall be revised, or if revision is not permitted it shall be eliminated from this Agreement, to the extent necessary to permit the remaining separate covenants (or portions thereof) to be enforced. In the event that the provisions of subsections A. and B. above are deemed to exceed the time, geographic or scope limitations permitted by applicable law, then such provisions shall be reformed to the maximum time, geographic or scope limitations, as the case may be, then permitted by such law. In the event that the applicable court or arbitrator does not exercise the power granted to it in the prior sentence, I and the Company agree to replace such invalid or unenforceable term or provision with a valid and enforceable term or provision that will achieve, to the extent possible, the economic, business and other purposes of such invalid or unenforceable term.</w:t>
      </w:r>
    </w:p>
    <w:p>
      <w:pPr>
        <w:pStyle w:val="TextBody"/>
        <w:bidi w:val="0"/>
        <w:spacing w:lineRule="auto" w:line="288" w:before="239" w:after="283"/>
        <w:ind w:left="0" w:right="0" w:firstLine="719"/>
        <w:jc w:val="both"/>
        <w:rPr/>
      </w:pPr>
      <w:r>
        <w:rPr>
          <w:rFonts w:ascii="Times New Roman;serif" w:hAnsi="Times New Roman;serif"/>
          <w:b w:val="false"/>
          <w:i/>
          <w:color w:val="000000"/>
          <w:sz w:val="22"/>
        </w:rPr>
        <w:t xml:space="preserve">D.Exception for Nevada Employees. </w:t>
      </w:r>
      <w:r>
        <w:rPr>
          <w:rFonts w:ascii="Times New Roman;serif" w:hAnsi="Times New Roman;serif"/>
          <w:b w:val="false"/>
          <w:color w:val="000000"/>
          <w:sz w:val="22"/>
        </w:rPr>
        <w:t>If I work for the Company in the State of Nevada as of the commencement of my employment with the Company, I acknowledge that nothing in this Section 7 will prevent me from providing services to a Customer, so long as I did not solicit the Customer, the Customer voluntarily chose to stop doing business with the Company, the Customer voluntarily seeks my services, and I am otherwise in compliance with Section 7 with regards to its limitations as to time, geographical area, and scope of activity. I further acknowledge that if I have been terminated from my employment with the Company due to a reduction in force, reorganization, or similar restructuring, then Section 7.A. will only be enforced for the period of time post-termination during which the Company is paying my salary, benefits, or equivalent compensation including, without limitation, severance pay.</w:t>
      </w:r>
    </w:p>
    <w:p>
      <w:pPr>
        <w:pStyle w:val="TextBody"/>
        <w:bidi w:val="0"/>
        <w:spacing w:lineRule="auto" w:line="288" w:before="246" w:after="283"/>
        <w:jc w:val="left"/>
        <w:rPr>
          <w:rFonts w:ascii="Times New Roman;serif" w:hAnsi="Times New Roman;serif"/>
          <w:b/>
          <w:color w:val="000000"/>
          <w:sz w:val="22"/>
          <w:u w:val="single"/>
        </w:rPr>
      </w:pPr>
      <w:r>
        <w:rPr>
          <w:rFonts w:ascii="Times New Roman;serif" w:hAnsi="Times New Roman;serif"/>
          <w:b/>
          <w:color w:val="000000"/>
          <w:sz w:val="22"/>
          <w:u w:val="single"/>
        </w:rPr>
        <w:t>Notification of New Employer</w:t>
      </w:r>
    </w:p>
    <w:p>
      <w:pPr>
        <w:pStyle w:val="TextBody"/>
        <w:bidi w:val="0"/>
        <w:spacing w:before="27" w:after="283"/>
        <w:jc w:val="left"/>
        <w:rPr/>
      </w:pPr>
      <w:r>
        <w:rPr/>
      </w:r>
    </w:p>
    <w:p>
      <w:pPr>
        <w:pStyle w:val="TextBody"/>
        <w:bidi w:val="0"/>
        <w:spacing w:lineRule="auto" w:line="288" w:before="0" w:after="0"/>
        <w:ind w:left="0" w:right="0" w:firstLine="719"/>
        <w:jc w:val="left"/>
        <w:rPr>
          <w:rFonts w:ascii="Times New Roman;serif" w:hAnsi="Times New Roman;serif"/>
          <w:b w:val="false"/>
          <w:color w:val="000000"/>
          <w:sz w:val="22"/>
        </w:rPr>
      </w:pPr>
      <w:r>
        <w:rPr>
          <w:rFonts w:ascii="Times New Roman;serif" w:hAnsi="Times New Roman;serif"/>
          <w:b w:val="false"/>
          <w:color w:val="000000"/>
          <w:sz w:val="22"/>
        </w:rPr>
        <w:t>In the event that I leave the employ of the Company, I hereby grant consent to notification by the Company to my new employer about my obligations under this Agreement.</w:t>
      </w:r>
    </w:p>
    <w:p>
      <w:pPr>
        <w:pStyle w:val="TextBody"/>
        <w:bidi w:val="0"/>
        <w:spacing w:lineRule="auto" w:line="288" w:before="245" w:after="283"/>
        <w:jc w:val="left"/>
        <w:rPr>
          <w:rFonts w:ascii="Times New Roman;serif" w:hAnsi="Times New Roman;serif"/>
          <w:b/>
          <w:color w:val="000000"/>
          <w:sz w:val="22"/>
          <w:u w:val="single"/>
        </w:rPr>
      </w:pPr>
      <w:r>
        <w:rPr>
          <w:rFonts w:ascii="Times New Roman;serif" w:hAnsi="Times New Roman;serif"/>
          <w:b/>
          <w:color w:val="000000"/>
          <w:sz w:val="22"/>
          <w:u w:val="single"/>
        </w:rPr>
        <w:t>Conflict of Interest Guidelines</w:t>
      </w:r>
    </w:p>
    <w:p>
      <w:pPr>
        <w:pStyle w:val="TextBody"/>
        <w:bidi w:val="0"/>
        <w:spacing w:lineRule="auto" w:line="288" w:before="237" w:after="283"/>
        <w:ind w:left="0" w:right="0" w:firstLine="719"/>
        <w:jc w:val="both"/>
        <w:rPr/>
      </w:pPr>
      <w:r>
        <w:rPr>
          <w:rFonts w:ascii="Times New Roman;serif" w:hAnsi="Times New Roman;serif"/>
          <w:b w:val="false"/>
          <w:color w:val="000000"/>
          <w:sz w:val="22"/>
        </w:rPr>
        <w:t xml:space="preserve">I agree to diligently adhere to all policies of the Company, including the Company’s insider trading policies and the Company’s Conflict of Interest Guidelines. A copy of the Company’s current Conflict of Interest Guidelines is attached as </w:t>
      </w:r>
      <w:r>
        <w:rPr>
          <w:rFonts w:ascii="Times New Roman;serif" w:hAnsi="Times New Roman;serif"/>
          <w:b w:val="false"/>
          <w:color w:val="000000"/>
          <w:sz w:val="22"/>
          <w:u w:val="single"/>
        </w:rPr>
        <w:t>Exhibit C</w:t>
      </w:r>
      <w:r>
        <w:rPr>
          <w:color w:val="000000"/>
        </w:rPr>
        <w:t xml:space="preserve"> </w:t>
      </w:r>
      <w:r>
        <w:rPr>
          <w:rFonts w:ascii="Times New Roman;serif" w:hAnsi="Times New Roman;serif"/>
          <w:b w:val="false"/>
          <w:color w:val="000000"/>
          <w:sz w:val="22"/>
        </w:rPr>
        <w:t>hereto, but I understand that these Conflict of Interest Guidelines may be revised from time to time during my employment.</w:t>
      </w:r>
    </w:p>
    <w:p>
      <w:pPr>
        <w:pStyle w:val="TextBody"/>
        <w:bidi w:val="0"/>
        <w:spacing w:lineRule="auto" w:line="288" w:before="244" w:after="283"/>
        <w:jc w:val="left"/>
        <w:rPr>
          <w:rFonts w:ascii="Times New Roman;serif" w:hAnsi="Times New Roman;serif"/>
          <w:b/>
          <w:color w:val="000000"/>
          <w:sz w:val="22"/>
          <w:u w:val="single"/>
        </w:rPr>
      </w:pPr>
      <w:r>
        <w:rPr>
          <w:rFonts w:ascii="Times New Roman;serif" w:hAnsi="Times New Roman;serif"/>
          <w:b/>
          <w:color w:val="000000"/>
          <w:sz w:val="22"/>
          <w:u w:val="single"/>
        </w:rPr>
        <w:t>Representations</w:t>
      </w:r>
    </w:p>
    <w:p>
      <w:pPr>
        <w:pStyle w:val="TextBody"/>
        <w:bidi w:val="0"/>
        <w:spacing w:lineRule="auto" w:line="288" w:before="236" w:after="283"/>
        <w:ind w:left="0" w:right="0" w:firstLine="719"/>
        <w:jc w:val="both"/>
        <w:rPr/>
      </w:pPr>
      <w:r>
        <w:rPr>
          <w:rFonts w:ascii="Times New Roman;serif" w:hAnsi="Times New Roman;serif"/>
          <w:b w:val="false"/>
          <w:color w:val="000000"/>
          <w:sz w:val="22"/>
        </w:rPr>
        <w:t xml:space="preserve">Without limiting my obligations under </w:t>
      </w:r>
      <w:r>
        <w:rPr>
          <w:rFonts w:ascii="Times New Roman;serif" w:hAnsi="Times New Roman;serif"/>
          <w:b/>
          <w:color w:val="000000"/>
          <w:sz w:val="22"/>
        </w:rPr>
        <w:t xml:space="preserve">Section </w:t>
      </w:r>
      <w:hyperlink w:anchor="i545c791faee34125b64b43588de72a10_1">
        <w:r>
          <w:rPr>
            <w:rStyle w:val="InternetLink"/>
            <w:rFonts w:ascii="Times New Roman;serif" w:hAnsi="Times New Roman;serif"/>
            <w:b/>
            <w:strike w:val="false"/>
            <w:dstrike w:val="false"/>
            <w:color w:val="000000"/>
            <w:sz w:val="22"/>
            <w:u w:val="none"/>
            <w:effect w:val="none"/>
          </w:rPr>
          <w:t>0</w:t>
        </w:r>
      </w:hyperlink>
      <w:r>
        <w:rPr>
          <w:rFonts w:ascii="Times New Roman;serif" w:hAnsi="Times New Roman;serif"/>
          <w:b/>
          <w:color w:val="000000"/>
          <w:sz w:val="22"/>
        </w:rPr>
        <w:t xml:space="preserve"> </w:t>
      </w:r>
      <w:r>
        <w:rPr>
          <w:rFonts w:ascii="Times New Roman;serif" w:hAnsi="Times New Roman;serif"/>
          <w:b w:val="false"/>
          <w:color w:val="000000"/>
          <w:sz w:val="22"/>
        </w:rPr>
        <w:t>above, I agree to execute any proper oath or verify any proper document required to carry out the terms of this Agreement. I represent and warrant that my performance of all the terms of this Agreement will not breach any agreement to keep in confidence information acquired by me in confidence or in trust prior to my employment by the Company. I hereby represent and warrant that I have not entered into, and I will not enter into, any oral or written agreement in conflict herewith.</w:t>
      </w:r>
    </w:p>
    <w:p>
      <w:pPr>
        <w:pStyle w:val="TextBody"/>
        <w:bidi w:val="0"/>
        <w:jc w:val="both"/>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6480175" cy="175260"/>
                <wp:effectExtent l="0" t="0" r="0" b="0"/>
                <wp:wrapNone/>
                <wp:docPr id="235" name="Frame2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2"/>
          <w:u w:val="single"/>
        </w:rPr>
      </w:pPr>
      <w:r>
        <w:rPr>
          <w:rFonts w:ascii="Times New Roman;serif" w:hAnsi="Times New Roman;serif"/>
          <w:b/>
          <w:color w:val="000000"/>
          <w:sz w:val="22"/>
          <w:u w:val="single"/>
        </w:rPr>
        <w:t>Audit</w:t>
      </w:r>
    </w:p>
    <w:p>
      <w:pPr>
        <w:pStyle w:val="TextBody"/>
        <w:bidi w:val="0"/>
        <w:spacing w:before="28" w:after="283"/>
        <w:jc w:val="left"/>
        <w:rPr/>
      </w:pPr>
      <w:r>
        <w:rPr/>
      </w:r>
    </w:p>
    <w:p>
      <w:pPr>
        <w:pStyle w:val="TextBody"/>
        <w:bidi w:val="0"/>
        <w:spacing w:lineRule="auto" w:line="288" w:before="0" w:after="0"/>
        <w:ind w:left="0" w:right="0" w:firstLine="719"/>
        <w:jc w:val="both"/>
        <w:rPr>
          <w:rFonts w:ascii="Times New Roman;serif" w:hAnsi="Times New Roman;serif"/>
          <w:b w:val="false"/>
          <w:color w:val="000000"/>
          <w:sz w:val="22"/>
        </w:rPr>
      </w:pPr>
      <w:r>
        <w:rPr>
          <w:rFonts w:ascii="Times New Roman;serif" w:hAnsi="Times New Roman;serif"/>
          <w:b w:val="false"/>
          <w:color w:val="000000"/>
          <w:sz w:val="22"/>
        </w:rPr>
        <w:t>I acknowledge that I have no reasonable expectation of privacy in any Company Electronic Media Equipment or Company Electronic Media Systems. All information, data, and messages created, received, sent, or stored in Company Electronic Media Equipment or Company Electronic Media Systems are, at all times, the property of the Company. As such, the Company has the right to audit and search all such items and systems, without further notice to me, to ensure that the Company is licensed to use the software on the Company’s devices in compliance with the Company’s software licensing policies, to ensure compliance with the Company’s policies, and for any other business-related purposes in the Company’s sole discretion. I understand that I am not permitted to add any unlicensed, unauthorized, or non-compliant applications to the Company’s technology systems, including, without limitation, open source or free software not authorized by the Company, and that I shall refrain from copying unlicensed software onto the Company’s technology systems or using non-licensed software or websites. I understand that it is my responsibility to comply with the Company’s policies governing use of the Company’s documents and the internet, email, telephone, and technology systems to which I will have access in connection with my employment. In addition, as to any personal Electronic Media Equipment or personal Electronic Media Systems or other personal property that I have used for Company purposes, I agree that the Company may have reasonable access to such personal Electronic Media Equipment or personal Electronic Media Systems or other personal property to review, retrieve, destroy, or ensure the permanent deletion of Company information from such equipment or systems or property or take such other actions that are needed to protect the Company or Company property, as determined by the Company reasonably and in good faith.</w:t>
      </w:r>
    </w:p>
    <w:p>
      <w:pPr>
        <w:pStyle w:val="TextBody"/>
        <w:bidi w:val="0"/>
        <w:spacing w:lineRule="auto" w:line="288" w:before="7" w:after="283"/>
        <w:ind w:left="0" w:right="0" w:firstLine="719"/>
        <w:jc w:val="both"/>
        <w:rPr>
          <w:rFonts w:ascii="sans-serif" w:hAnsi="sans-serif"/>
          <w:b w:val="false"/>
          <w:color w:val="000000"/>
          <w:sz w:val="22"/>
        </w:rPr>
      </w:pPr>
      <w:r>
        <w:rPr>
          <w:rFonts w:ascii="sans-serif" w:hAnsi="sans-serif"/>
          <w:b w:val="false"/>
          <w:color w:val="000000"/>
          <w:sz w:val="22"/>
        </w:rPr>
        <w:t>I am aware that the Company has or may acquire software and systems that are capable of monitoring and recording all Company network traffic to and from any Company Electronic Media Equipment or Company Electronic Media Systems. The Company reserves the right to access, review, copy, and delete any of the information, data, or messages accessed through Company Electronic Media Equipment or Company Electronic Media Systems, with or without notice to me and/or in my absence. This includes, but is not limited to, all e-mail messages sent or received, all website visits, all chat sessions, all news group activity (including groups visited, messages read, and postings by me), and all file transfers into and out of the Company’s internal networks. The Company further reserves the right to retrieve previously deleted messages from e-mail or voicemail and monitor usage of the Internet, including websites visited and any information I have downloaded. In addition, the Company may review Internet and technology systems activity and analyze usage patterns, and may choose to publicize this data to assure that technology systems are devoted to legitimate business purposes.</w:t>
      </w:r>
    </w:p>
    <w:p>
      <w:pPr>
        <w:pStyle w:val="TextBody"/>
        <w:bidi w:val="0"/>
        <w:spacing w:lineRule="auto" w:line="288" w:before="240" w:after="283"/>
        <w:jc w:val="left"/>
        <w:rPr>
          <w:rFonts w:ascii="Times New Roman;serif" w:hAnsi="Times New Roman;serif"/>
          <w:b/>
          <w:color w:val="000000"/>
          <w:sz w:val="22"/>
          <w:u w:val="single"/>
        </w:rPr>
      </w:pPr>
      <w:r>
        <w:rPr>
          <w:rFonts w:ascii="Times New Roman;serif" w:hAnsi="Times New Roman;serif"/>
          <w:b/>
          <w:color w:val="000000"/>
          <w:sz w:val="22"/>
          <w:u w:val="single"/>
        </w:rPr>
        <w:t>Arbitration and Equitable Relief</w:t>
      </w:r>
    </w:p>
    <w:p>
      <w:pPr>
        <w:pStyle w:val="TextBody"/>
        <w:bidi w:val="0"/>
        <w:spacing w:before="27" w:after="283"/>
        <w:jc w:val="left"/>
        <w:rPr/>
      </w:pPr>
      <w:r>
        <w:rPr/>
      </w:r>
    </w:p>
    <w:p>
      <w:pPr>
        <w:pStyle w:val="TextBody"/>
        <w:bidi w:val="0"/>
        <w:spacing w:lineRule="auto" w:line="288"/>
        <w:ind w:left="0" w:right="0" w:firstLine="719"/>
        <w:jc w:val="both"/>
        <w:rPr/>
      </w:pPr>
      <w:r>
        <w:rPr>
          <w:rFonts w:ascii="Times New Roman;serif" w:hAnsi="Times New Roman;serif"/>
          <w:b w:val="false"/>
          <w:color w:val="000000"/>
          <w:sz w:val="22"/>
        </w:rPr>
        <w:t>E.</w:t>
      </w:r>
      <w:r>
        <w:rPr>
          <w:rFonts w:ascii="Times New Roman;serif" w:hAnsi="Times New Roman;serif"/>
          <w:b w:val="false"/>
          <w:i/>
          <w:color w:val="000000"/>
          <w:sz w:val="22"/>
        </w:rPr>
        <w:t>Arbitration</w:t>
      </w:r>
      <w:r>
        <w:rPr>
          <w:rFonts w:ascii="Times New Roman;serif" w:hAnsi="Times New Roman;serif"/>
          <w:b w:val="false"/>
          <w:color w:val="000000"/>
          <w:sz w:val="22"/>
        </w:rPr>
        <w:t xml:space="preserve">. IN CONSIDERATION OF MY EMPLOYMENT WITH THE COMPANY, ITS PROMISE TO ARBITRATE ALL EMPLOYMENT-RELATED DISPUTES WITH ME, AND MY RECEIPT OF THE COMPENSATION, PAY RAISES AND OTHER BENEFITS PAID TO ME BY THE COMPANY, AT PRESENT AND IN THE FUTURE, I AGREE THAT, EXCEPT AS SET FORTH IN </w:t>
      </w:r>
      <w:r>
        <w:rPr>
          <w:rFonts w:ascii="Times New Roman;serif" w:hAnsi="Times New Roman;serif"/>
          <w:b/>
          <w:color w:val="000000"/>
          <w:sz w:val="22"/>
        </w:rPr>
        <w:t xml:space="preserve">SECTIONS 12.A(1) </w:t>
      </w:r>
      <w:r>
        <w:rPr>
          <w:rFonts w:ascii="Times New Roman;serif" w:hAnsi="Times New Roman;serif"/>
          <w:b w:val="false"/>
          <w:color w:val="000000"/>
          <w:sz w:val="22"/>
        </w:rPr>
        <w:t>BELOW (AS APPLICABLE), ANY AND ALL CONTROVERSIES, CLAIMS, OR DISPUTES THAT I MAY HAVE WITH THE COMPANY (INCLUDING ANY COMPANY EMPLOYEE, OFFICER, DIRECTOR, TRUSTEE, SHAREHOLDER OR BENEFIT PLAN OF THE COMPANY, IN THEIR CAPACITY AS SUCH OR OTHERWISE), ARISING OUT OF, RELATING TO, OR RESULTING FROM MY EMPLOYMENT OR RELATIONSHIP WITH THE COMPANY OR THE TERMINATION OF MY EMPLOYMENT OR RELATIONSHIP WITH THE COMPANY, INCLUDING ANY BREACH OF THIS AGREEMENT, SHALL BE SUBJECT TO BINDING ARBITRATION UNDER THE FEDERAL ARBITRATION ACT (THE “</w:t>
      </w:r>
      <w:r>
        <w:rPr>
          <w:rFonts w:ascii="Times New Roman;serif" w:hAnsi="Times New Roman;serif"/>
          <w:b/>
          <w:color w:val="000000"/>
          <w:sz w:val="22"/>
        </w:rPr>
        <w:t>FAA</w:t>
      </w:r>
      <w:r>
        <w:rPr>
          <w:color w:val="000000"/>
        </w:rPr>
        <w:t>”</w:t>
      </w:r>
      <w:r>
        <w:rPr>
          <w:rFonts w:ascii="Times New Roman;serif" w:hAnsi="Times New Roman;serif"/>
          <w:b w:val="false"/>
          <w:color w:val="000000"/>
          <w:sz w:val="22"/>
        </w:rPr>
        <w:t xml:space="preserve">) AND THAT THE FAA SHALL GOVERN AND APPLY TO THIS ARBITRATION AGREEMENT WITH FULL FORCE AND EFFECT. I AGREE THAT I MAY ONLY COMMENCE AN ACTION IN ARBITRATION, OR ASSERT COUNTERCLAIMS IN AN ARBITRATION, ON AN INDIVIDUAL BASIS AND, THUS, I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6480175" cy="175260"/>
                <wp:effectExtent l="0" t="0" r="0" b="0"/>
                <wp:wrapNone/>
                <wp:docPr id="236" name="Frame2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HEREBY WAIVE MY RIGHT TO COMMENCE OR PARTICIPATE IN ANY CLASS OR COLLECTIVE ACTION(S) AGAINST THE COMPANY. DISPUTES THAT I AGREE TO ARBITRATE, AND THEREBY AGREE TO WAIVE ANY RIGHT TO A TRIAL BY JURY, INCLUDE ANY STATUTORY CLAIMS UNDER LOCAL, STATE, OR FEDERAL LAW, INCLUDING, BUT NOT LIMITED TO, CLAIMS UNDER TITLE VII OF THE CIVIL RIGHTS ACT OF 1964, THE CIVIL RIGHTS ACT OF 1991, THE FAIR LABOR STANDARDS ACT, THE AMERICANS WITH DISABILITIES ACT OF 1990, THE AGE DISCRIMINATION IN EMPLOYMENT ACT OF 1967, THE OLDER WORKERS BENEFIT PROTECTION ACT, THE WORKER ADJUSTMENT AND RETRAINING NOTIFICATION ACT, THE FAIR CREDIT REPORTING ACT, THE EMPLOYEE RETIREMENT INCOME SECURITY ACT OF 1974, THE FAMILY AND MEDICAL LEAVE ACT, THE STATUTES OF THE STATE IN WHICH I WORK FOR THE COMPANY AT THE COMMENCEMENT OF MY EMPLOYMENT WITH THE COMPANY, CLAIMS RELATING TO EMPLOYMENT STATUS, CLASSIFICATION AND RELATIONSHIP WITH THE COMPANY, CLAIMS OF HARASSMENT, DISCRIMINATION, WRONGFUL TERMINATION, BREACH OF CONTRACT, AND ANY STATUTORY OR COMMON LAW CLAIMS. I ALSO AGREE TO ARBITRATE ANY AND ALL DISPUTES ARISING OUT OF OR RELATING TO THE INTERPRETATION OR APPLICATION OF THIS AGREEMENT TO ARBITRATE, BUT NOT DISPUTES ABOUT THE ENFORCEABILITY, REVOCABILITY OR VALIDITY OF THIS AGREEMENT TO ARBITRATE OR ANY PORTION HEREOF OR THE CLASS, COLLECTIVE AND REPRESENTATIVE PROCEEDING WAIVER HEREIN. WITH RESPECT TO ALL SUCH CLAIMS AND DISPUTES THAT I AGREE TO ARBITRATE, I HEREBY EXPRESSLY AGREE TO WAIVE, AND DO WAIVE, ANY RIGHT TO A TRIAL BY JURY. I FURTHER UNDERSTAND THAT THIS AGREEMENT TO ARBITRATE ALSO APPLIES TO ANY DISPUTES THAT THE COMPANY MAY HAVE WITH ME. I UNDERSTAND THAT NOTHING IN THIS AGREEMENT REQUIRES ME TO ARBITRATE CLAIMS THAT CANNOT BE ARBITRATED UNDER APPLICABLE LAW, INCLUDING THE SARBANES-OXLEY ACT.</w:t>
      </w:r>
    </w:p>
    <w:p>
      <w:pPr>
        <w:pStyle w:val="TextBody"/>
        <w:bidi w:val="0"/>
        <w:spacing w:lineRule="auto" w:line="288" w:before="242" w:after="283"/>
        <w:ind w:left="0" w:right="0" w:firstLine="719"/>
        <w:jc w:val="both"/>
        <w:rPr/>
      </w:pPr>
      <w:r>
        <w:rPr>
          <w:rFonts w:ascii="Times New Roman;serif" w:hAnsi="Times New Roman;serif"/>
          <w:b w:val="false"/>
          <w:i/>
          <w:color w:val="000000"/>
          <w:sz w:val="24"/>
        </w:rPr>
        <w:t>Exception for New York Employees</w:t>
      </w:r>
      <w:r>
        <w:rPr>
          <w:rFonts w:ascii="Times New Roman;serif" w:hAnsi="Times New Roman;serif"/>
          <w:b w:val="false"/>
          <w:color w:val="000000"/>
          <w:sz w:val="24"/>
        </w:rPr>
        <w:t xml:space="preserve">. </w:t>
      </w:r>
      <w:r>
        <w:rPr>
          <w:rFonts w:ascii="Times New Roman;serif" w:hAnsi="Times New Roman;serif"/>
          <w:b w:val="false"/>
          <w:color w:val="000000"/>
          <w:sz w:val="22"/>
        </w:rPr>
        <w:t xml:space="preserve">NOTWITHSTANDING </w:t>
      </w:r>
      <w:r>
        <w:rPr>
          <w:rFonts w:ascii="Times New Roman;serif" w:hAnsi="Times New Roman;serif"/>
          <w:b/>
          <w:color w:val="000000"/>
          <w:sz w:val="22"/>
        </w:rPr>
        <w:t>SECTION 12.A.</w:t>
      </w:r>
      <w:r>
        <w:rPr>
          <w:rFonts w:ascii="Times New Roman;serif" w:hAnsi="Times New Roman;serif"/>
          <w:b w:val="false"/>
          <w:color w:val="000000"/>
          <w:sz w:val="22"/>
        </w:rPr>
        <w:t>, IF I WORK FOR THE COMPANY IN THE STATE OF NEW YORK AT THE COMMENCEMENT OF MY EMPLOYMENT WITH THE COMPANY, I UNDERSTAND THAT THE ARBITRATION PROVISION DOES NOT APPLY TO ANY CONTROVERSIES, CLAIMS, OR DISPUTES ALLEGING OR ASSERTING CLAIMS OF DISCRIMINATION.</w:t>
      </w:r>
    </w:p>
    <w:p>
      <w:pPr>
        <w:pStyle w:val="TextBody"/>
        <w:bidi w:val="0"/>
        <w:spacing w:lineRule="auto" w:line="288" w:before="238" w:after="283"/>
        <w:ind w:left="0" w:right="0" w:firstLine="719"/>
        <w:jc w:val="both"/>
        <w:rPr/>
      </w:pPr>
      <w:r>
        <w:rPr>
          <w:rFonts w:ascii="Times New Roman;serif" w:hAnsi="Times New Roman;serif"/>
          <w:b w:val="false"/>
          <w:color w:val="000000"/>
          <w:sz w:val="22"/>
        </w:rPr>
        <w:t>F.</w:t>
      </w:r>
      <w:r>
        <w:rPr>
          <w:rFonts w:ascii="Times New Roman;serif" w:hAnsi="Times New Roman;serif"/>
          <w:b w:val="false"/>
          <w:i/>
          <w:color w:val="000000"/>
          <w:sz w:val="22"/>
        </w:rPr>
        <w:t xml:space="preserve">Procedure. </w:t>
      </w:r>
      <w:r>
        <w:rPr>
          <w:rFonts w:ascii="Times New Roman;serif" w:hAnsi="Times New Roman;serif"/>
          <w:b w:val="false"/>
          <w:color w:val="000000"/>
          <w:sz w:val="22"/>
        </w:rPr>
        <w:t>I AGREE THAT ANY ARBITRATION WILL BE ADMINISTERED BY JAMS PURSUANT TO ITS EMPLOYMENT ARBITRATION RULES &amp; PROCEDURES (THE “JAMS</w:t>
      </w:r>
    </w:p>
    <w:p>
      <w:pPr>
        <w:pStyle w:val="TextBody"/>
        <w:bidi w:val="0"/>
        <w:spacing w:lineRule="auto" w:line="288" w:before="1" w:after="283"/>
        <w:jc w:val="both"/>
        <w:rPr/>
      </w:pPr>
      <w:r>
        <w:rPr>
          <w:rFonts w:ascii="Times New Roman;serif" w:hAnsi="Times New Roman;serif"/>
          <w:b w:val="false"/>
          <w:color w:val="000000"/>
          <w:sz w:val="22"/>
        </w:rPr>
        <w:t xml:space="preserve">RULES”), WHICH ARE AVAILABLE AT </w:t>
      </w:r>
      <w:r>
        <w:rPr>
          <w:rFonts w:ascii="Times New Roman;serif" w:hAnsi="Times New Roman;serif"/>
          <w:b w:val="false"/>
          <w:color w:val="000000"/>
          <w:sz w:val="22"/>
          <w:u w:val="single"/>
        </w:rPr>
        <w:t>http://www.jamsadr.com/rules-employment-arbitration</w:t>
      </w:r>
      <w:r>
        <w:rPr>
          <w:rFonts w:ascii="Times New Roman;serif" w:hAnsi="Times New Roman;serif"/>
          <w:b w:val="false"/>
          <w:color w:val="0000FF"/>
          <w:sz w:val="22"/>
          <w:u w:val="single"/>
        </w:rPr>
        <w:t>/</w:t>
      </w:r>
      <w:r>
        <w:rPr>
          <w:color w:val="0000FF"/>
        </w:rPr>
        <w:t xml:space="preserve"> </w:t>
      </w:r>
      <w:r>
        <w:rPr>
          <w:rFonts w:ascii="Times New Roman;serif" w:hAnsi="Times New Roman;serif"/>
          <w:b w:val="false"/>
          <w:color w:val="000000"/>
          <w:sz w:val="22"/>
        </w:rPr>
        <w:t xml:space="preserve">AND FROM HUMAN RESOURCES, PROVIDED, HOWEVER, THAT THE JAMS RULES SHALL NOT CONTRADICT OR OTHERWISE ALTER THE TERMS OF THIS AGREEMENT, INCLUDING, BUT NOT LIMITED TO, THE BELOW COST SHARING PROVISION AND </w:t>
      </w:r>
      <w:r>
        <w:rPr>
          <w:rFonts w:ascii="Times New Roman;serif" w:hAnsi="Times New Roman;serif"/>
          <w:b/>
          <w:color w:val="000000"/>
          <w:sz w:val="22"/>
        </w:rPr>
        <w:t xml:space="preserve">SECTION 12.B </w:t>
      </w:r>
      <w:r>
        <w:rPr>
          <w:rFonts w:ascii="Times New Roman;serif" w:hAnsi="Times New Roman;serif"/>
          <w:b w:val="false"/>
          <w:color w:val="000000"/>
          <w:sz w:val="22"/>
        </w:rPr>
        <w:t xml:space="preserve">BELOW, AS APPLICABLE. THE ARBITRATION SHALL BE BEFORE A SINGLE ARBITRATOR WHO SHALL BE A FORMER FEDERAL OR STATE COURT JUDGE. THE ARBITRATION SHALL APPLY THE FEDERAL RULES OF CIVIL PROCEDURE, EXCEPT TO THE EXTENT SUCH RULES CONFLICT WITH THE JAMS RULES. I UNDERSTAND THAT THE PARTIES TO THE ARBITRATION SHALL EACH PAY AN EQUAL SHARE OF THE COSTS AND EXPENSES OF SUCH ARBITRATION, EXCEPT AS PROHIBITED BY LAW, INCLUDING IN SUCH EVENT THAT AN APPLICABLE STATUTE PROVIDES THAT A PARTY MAY RECOVER SUCH ARBITRATION COSTS (IN WHICH CASE, THE ARBITRATOR SHALL HAVE THE AUTHORITY TO AWARD ARBITRATION COSTS IN THE ARBITRATOR’S DISCRETION), AND UNDERSTAND THAT EACH PARTY SHALL SEPARATELY PAY ITS RESPECTIVE ATTORNEYS’ FEES AND COSTS. IN THE EVENT THAT JAMS FAILS, REFUSES, OR OTHERWISE DOES NOT ENFORCE THE AFOREMENTIONED ARBITRATION COSTS SHARING PROVISION, EITHER PARTY MAY COMMENCE AN ACTION TO RECOVER SUCH AMOUNTS AGAINST THE NON-PAYING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6480175" cy="175260"/>
                <wp:effectExtent l="0" t="0" r="0" b="0"/>
                <wp:wrapNone/>
                <wp:docPr id="237" name="Frame2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 w:after="283"/>
        <w:jc w:val="both"/>
        <w:rPr>
          <w:rFonts w:ascii="Times New Roman;serif" w:hAnsi="Times New Roman;serif"/>
          <w:b w:val="false"/>
          <w:color w:val="000000"/>
          <w:sz w:val="22"/>
        </w:rPr>
      </w:pPr>
      <w:r>
        <w:rPr>
          <w:rFonts w:ascii="Times New Roman;serif" w:hAnsi="Times New Roman;serif"/>
          <w:b w:val="false"/>
          <w:color w:val="000000"/>
          <w:sz w:val="22"/>
        </w:rPr>
        <w:t>PARTY IN COURT AND THE NON-PAYING PARTY SHALL REIMBURSE THE MOVING PARTY FOR THE ATTORNEYS’ FEES AND COSTS INCURRED IN CONNECTION WITH SUCH ACTION. I AGREE THAT THE ARBITRATOR SHALL CONSIDER AND SHALL HAVE THE POWER TO DECIDE ANY MOTIONS BROUGHT BY ANY PARTY TO THE ARBITRATION, INCLUDING MOTIONS FOR SUMMARY JUDGMENT AND/OR ADJUDICATION, AND MOTIONS TO DISMISS, PRIOR TO ANY ARBITRATION HEARING. I AGREE THAT THE ARBITRATOR SHALL ISSUE A WRITTEN DECISION ON THE MERITS. I ALSO AGREE THAT THE ARBITRATOR SHALL HAVE THE POWER TO AWARD ANY REMEDIES AVAILABLE UNDER APPLICABLE LAW. I AGREE THAT THE DECREE OR AWARD RENDERED BY THE ARBITRATOR MAY BE ENTERED AS A FINAL AND BINDING JUDGMENT IN ANY COURT HAVING JURISDICTION THEREOF. SUBJECT TO THE FAA’S EXCLUSIVE APPLICABILITY TO THE ENFORCEMENT OF THIS AGREEMENT TO ARBITRATE, I AGREE THAT THE ARBITRATOR SHALL APPLY THE SUBSTANTIVE LAW OF THE STATE IN WHICH I WORK FOR THE COMPANY AT THE TIME MY EMPLOYMENT WITH THE COMPANY COMMENCES TO ANY DISPUTE OR CLAIM, WITHOUT REFERENCE TO RULES OF CONFLICT OF LAW. TO THE EXTENT THAT THE JAMS RULES CONFLICT WITH THE SUBSTANTIVE LAW OF THAT STATE, THE LAW OF THAT STATE SHALL TAKE PRECEDENCE. I AGREE THAT ARBITRATION UNDER THIS AGREEMENT SHALL BE CONDUCTED IN THE STATE IN WHICH I RESIDE AS OF THE END OF MY EMPLOYMENT WITH THE COMPANY OR IN A LOCATION MUTUALLY AGREED UPON BY THE COMPANY AND ME.</w:t>
      </w:r>
    </w:p>
    <w:p>
      <w:pPr>
        <w:pStyle w:val="TextBody"/>
        <w:bidi w:val="0"/>
        <w:spacing w:lineRule="auto" w:line="288" w:before="241" w:after="283"/>
        <w:ind w:left="0" w:right="0" w:firstLine="719"/>
        <w:jc w:val="both"/>
        <w:rPr/>
      </w:pPr>
      <w:r>
        <w:rPr>
          <w:rFonts w:ascii="Times New Roman;serif" w:hAnsi="Times New Roman;serif"/>
          <w:b w:val="false"/>
          <w:color w:val="000000"/>
          <w:sz w:val="22"/>
        </w:rPr>
        <w:t>G.</w:t>
      </w:r>
      <w:r>
        <w:rPr>
          <w:rFonts w:ascii="Times New Roman;serif" w:hAnsi="Times New Roman;serif"/>
          <w:b w:val="false"/>
          <w:i/>
          <w:color w:val="000000"/>
          <w:sz w:val="22"/>
        </w:rPr>
        <w:t>Remedy</w:t>
      </w:r>
      <w:r>
        <w:rPr>
          <w:rFonts w:ascii="Times New Roman;serif" w:hAnsi="Times New Roman;serif"/>
          <w:b w:val="false"/>
          <w:color w:val="000000"/>
          <w:sz w:val="22"/>
        </w:rPr>
        <w:t>. EXCEPT AS PROHIBITED BY LAW OR PROVIDED BY THIS AGREEMENT, ARBITRATION SHALL BE THE SOLE, EXCLUSIVE AND FINAL REMEDY FOR ANY DISPUTE BETWEEN ME AND THE COMPANY. ACCORDINGLY, NEITHER I NOR THE COMPANY WILL BE PERMITTED TO PURSUE OR PARTICIPATE IN A COURT ACTION REGARDING CLAIMS THAT ARE SUBJECT TO ARBITRATION.</w:t>
      </w:r>
    </w:p>
    <w:p>
      <w:pPr>
        <w:pStyle w:val="TextBody"/>
        <w:bidi w:val="0"/>
        <w:spacing w:lineRule="auto" w:line="288" w:before="240" w:after="283"/>
        <w:ind w:left="0" w:right="0" w:firstLine="719"/>
        <w:jc w:val="both"/>
        <w:rPr/>
      </w:pPr>
      <w:r>
        <w:rPr>
          <w:rFonts w:ascii="Times New Roman;serif" w:hAnsi="Times New Roman;serif"/>
          <w:b w:val="false"/>
          <w:i/>
          <w:color w:val="000000"/>
          <w:sz w:val="22"/>
        </w:rPr>
        <w:t xml:space="preserve">Exception for New Jersey Employees. </w:t>
      </w:r>
      <w:r>
        <w:rPr>
          <w:rFonts w:ascii="Times New Roman;serif" w:hAnsi="Times New Roman;serif"/>
          <w:b w:val="false"/>
          <w:color w:val="000000"/>
          <w:sz w:val="22"/>
        </w:rPr>
        <w:t>I AGREE THAT IF I WORK IN THE STATE OF NEW JERSEY AS OF THE COMMENCEMENT OF MY EMPLOYMENT WITH THE COMPANY OR IF I WORK IN ANY OTHER STATE IN WHICH JAMS IS PROHIBITED FROM PRACTICING WITHIN BY APPLICABLE ETHICS RULES OR LAW, I ACKNOWLEDGE THAT ANY ARBITRATION UNDER THIS AGREEMENT WILL BE ADMINISTERED BY THE AMERICAN ARBITRATION ASSOCIATION (“</w:t>
      </w:r>
      <w:r>
        <w:rPr>
          <w:rFonts w:ascii="Times New Roman;serif" w:hAnsi="Times New Roman;serif"/>
          <w:b/>
          <w:color w:val="000000"/>
          <w:sz w:val="22"/>
        </w:rPr>
        <w:t>AAA</w:t>
      </w:r>
      <w:r>
        <w:rPr>
          <w:color w:val="000000"/>
        </w:rPr>
        <w:t>”</w:t>
      </w:r>
      <w:r>
        <w:rPr>
          <w:rFonts w:ascii="Times New Roman;serif" w:hAnsi="Times New Roman;serif"/>
          <w:b w:val="false"/>
          <w:color w:val="000000"/>
          <w:sz w:val="22"/>
        </w:rPr>
        <w:t>) PURSUANT TO ITS EMPLOYMENT ARBITRATION RULES AND MEDIATION PROCEDURES (“</w:t>
      </w:r>
      <w:r>
        <w:rPr>
          <w:rFonts w:ascii="Times New Roman;serif" w:hAnsi="Times New Roman;serif"/>
          <w:b/>
          <w:color w:val="000000"/>
          <w:sz w:val="22"/>
        </w:rPr>
        <w:t>THE AAA RULES</w:t>
      </w:r>
      <w:r>
        <w:rPr>
          <w:color w:val="000000"/>
        </w:rPr>
        <w:t>”</w:t>
      </w:r>
      <w:r>
        <w:rPr>
          <w:rFonts w:ascii="Times New Roman;serif" w:hAnsi="Times New Roman;serif"/>
          <w:b w:val="false"/>
          <w:color w:val="000000"/>
          <w:sz w:val="22"/>
        </w:rPr>
        <w:t>), WHICH ARE AVAILABLE AT</w:t>
      </w:r>
    </w:p>
    <w:p>
      <w:pPr>
        <w:pStyle w:val="TextBody"/>
        <w:bidi w:val="0"/>
        <w:spacing w:lineRule="auto" w:line="288" w:before="1" w:after="283"/>
        <w:jc w:val="both"/>
        <w:rPr>
          <w:rFonts w:ascii="Times New Roman;serif" w:hAnsi="Times New Roman;serif"/>
          <w:b w:val="false"/>
          <w:color w:val="000000"/>
          <w:sz w:val="22"/>
        </w:rPr>
      </w:pPr>
      <w:r>
        <w:rPr>
          <w:rFonts w:ascii="Times New Roman;serif" w:hAnsi="Times New Roman;serif"/>
          <w:b w:val="false"/>
          <w:color w:val="000000"/>
          <w:sz w:val="22"/>
        </w:rPr>
        <w:t>https://www.adr.org/sites/default/files/EmploymentRules_Web_2.pdf AND FROM HUMAN RESOURCES. FURTHER, I AGREE THAT, IN SUCH CASE, ALL REFERENCES TO “JAMS” IN THIS SECTION 12 SHALL BE AS IF REPLACED BY “AAA” AND ALL REFERENCES TO “JAMS RULES” SHALL BE AS IF REPLACED BY “AAA RULES.”</w:t>
      </w:r>
    </w:p>
    <w:p>
      <w:pPr>
        <w:pStyle w:val="TextBody"/>
        <w:bidi w:val="0"/>
        <w:spacing w:lineRule="auto" w:line="288" w:before="241" w:after="283"/>
        <w:ind w:left="0" w:right="0" w:firstLine="719"/>
        <w:jc w:val="both"/>
        <w:rPr/>
      </w:pPr>
      <w:r>
        <w:rPr>
          <w:rFonts w:ascii="Times New Roman;serif" w:hAnsi="Times New Roman;serif"/>
          <w:b w:val="false"/>
          <w:color w:val="000000"/>
          <w:sz w:val="22"/>
        </w:rPr>
        <w:t>H.</w:t>
      </w:r>
      <w:r>
        <w:rPr>
          <w:rFonts w:ascii="Times New Roman;serif" w:hAnsi="Times New Roman;serif"/>
          <w:b w:val="false"/>
          <w:i/>
          <w:color w:val="000000"/>
          <w:sz w:val="22"/>
        </w:rPr>
        <w:t>Availability of Injunctive Relief</w:t>
      </w:r>
      <w:r>
        <w:rPr>
          <w:rFonts w:ascii="Times New Roman;serif" w:hAnsi="Times New Roman;serif"/>
          <w:b w:val="false"/>
          <w:color w:val="000000"/>
          <w:sz w:val="22"/>
        </w:rPr>
        <w:t xml:space="preserve">. I AGREE THAT ANY PARTY MAY ALSO PETITION THE COURT FOR INJUNCTIVE RELIEF WHERE EITHER PARTY ALLEGES OR CLAIMS A VIOLATION OF THE AT-WILL EMPLOYMENT, CONFIDENTIAL INFORMATION, INVENTION ASSIGNMENT, AND ARBITRATION AGREEMENT BETWEEN ME AND THE COMPANY OR ANY OTHER AGREEMENT REGARDING TRADE SECRETS, CONFIDENTIAL INFORMATION, NONCOMPETITION OR NONSOLICITATION. I UNDERSTAND THAT ANY BREACH OR THREATENED BREACH OF SUCH AN AGREEMENT WILL CAUSE IRREPARABLE INJURY AND THAT MONEY DAMAGES WILL NOT PROVIDE AN ADEQUATE REMEDY THEREFOR AND BOTH PARTIES HEREBY CONSENT TO THE ISSUANCE OF AN INJUNCTION WITHOUT POSTING OF A BOND. IN THE EVENT EITHER PARTY SEEKS INJUNCTIVE RELIEF, THE PREVAILING PARTY SHALL BE ENTITLED TO RECOVER REASONABLE COSTS AND ATTORNEYS’ FEES WITHOUT REGARD FOR THE PREVAILING PARTY IN THE FINAL JUDGMENT, IF ANY. SUCH ATTORNEYS’ FEES AND COSTS SHALL BE RECOVERABLE ON WRITTEN DEMAND AT ANY TIME, INCLUDING, BUT NOT LIMITED TO, PRIOR TO ENTRY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6480175" cy="175260"/>
                <wp:effectExtent l="0" t="0" r="0" b="0"/>
                <wp:wrapNone/>
                <wp:docPr id="238" name="Frame2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1" w:after="283"/>
        <w:jc w:val="both"/>
        <w:rPr>
          <w:rFonts w:ascii="Times New Roman;serif" w:hAnsi="Times New Roman;serif"/>
          <w:b w:val="false"/>
          <w:color w:val="000000"/>
          <w:sz w:val="22"/>
        </w:rPr>
      </w:pPr>
      <w:r>
        <w:rPr>
          <w:rFonts w:ascii="Times New Roman;serif" w:hAnsi="Times New Roman;serif"/>
          <w:b w:val="false"/>
          <w:color w:val="000000"/>
          <w:sz w:val="22"/>
        </w:rPr>
        <w:t>OF A FINAL JUDGMENT, IF ANY, BY THE COURT, AND MUST BE PAID WITHIN THIRTY (30) DAYS AFTER DEMAND OR ELSE SUCH AMOUNTS SHALL BE SUBJECT TO THE ACCRUAL OF INTEREST AT A RATE EQUAL TO THE MAXIMUM STATUTORY RATE.</w:t>
      </w:r>
    </w:p>
    <w:p>
      <w:pPr>
        <w:pStyle w:val="TextBody"/>
        <w:bidi w:val="0"/>
        <w:spacing w:lineRule="auto" w:line="288" w:before="241" w:after="283"/>
        <w:ind w:left="0" w:right="0" w:firstLine="719"/>
        <w:jc w:val="both"/>
        <w:rPr/>
      </w:pPr>
      <w:r>
        <w:rPr>
          <w:rFonts w:ascii="Times New Roman;serif" w:hAnsi="Times New Roman;serif"/>
          <w:b w:val="false"/>
          <w:color w:val="000000"/>
          <w:sz w:val="22"/>
        </w:rPr>
        <w:t>I.</w:t>
      </w:r>
      <w:r>
        <w:rPr>
          <w:rFonts w:ascii="Times New Roman;serif" w:hAnsi="Times New Roman;serif"/>
          <w:b w:val="false"/>
          <w:i/>
          <w:color w:val="000000"/>
          <w:sz w:val="22"/>
        </w:rPr>
        <w:t>Administrative Relief</w:t>
      </w:r>
      <w:r>
        <w:rPr>
          <w:rFonts w:ascii="Times New Roman;serif" w:hAnsi="Times New Roman;serif"/>
          <w:b w:val="false"/>
          <w:color w:val="000000"/>
          <w:sz w:val="22"/>
        </w:rPr>
        <w:t>. I UNDERSTAND THAT THIS AGREEMENT DOES NOT PROHIBIT ME FROM PURSUING AN ADMINISTRATIVE CLAIM WITH A LOCAL, STATE, OR FEDERAL ADMINISTRATIVE BODY OR GOVERNMENT AGENCY THAT IS AUTHORIZED TO ENFORCE OR ADMINISTER LAWS RELATED TO EMPLOYMENT, INCLUDING, BUT NOT LIMITED TO, THE EQUAL EMPLOYMENT OPPORTUNITY COMMISSION (AND ANY STATE OR LOCAL EQUIVALENT AGENCY),, THE NATIONAL LABOR RELATIONS BOARD, THE SECURITIES AND EXCHANGE COMMISSION, OR THE WORKERS’ COMPENSATION BOARD. THIS AGREEMENT DOES, HOWEVER, PRECLUDE ME FROM PURSUING A COURT ACTION REGARDING ANY SUCH CLAIM, EXCEPT AS PERMITTED BY LAW.</w:t>
      </w:r>
    </w:p>
    <w:p>
      <w:pPr>
        <w:pStyle w:val="TextBody"/>
        <w:bidi w:val="0"/>
        <w:spacing w:lineRule="auto" w:line="288" w:before="241" w:after="283"/>
        <w:ind w:left="0" w:right="0" w:firstLine="719"/>
        <w:jc w:val="both"/>
        <w:rPr/>
      </w:pPr>
      <w:r>
        <w:rPr>
          <w:rFonts w:ascii="Times New Roman;serif" w:hAnsi="Times New Roman;serif"/>
          <w:b w:val="false"/>
          <w:color w:val="000000"/>
          <w:sz w:val="22"/>
        </w:rPr>
        <w:t>J.</w:t>
      </w:r>
      <w:r>
        <w:rPr>
          <w:rFonts w:ascii="Times New Roman;serif" w:hAnsi="Times New Roman;serif"/>
          <w:b w:val="false"/>
          <w:i/>
          <w:color w:val="000000"/>
          <w:sz w:val="22"/>
        </w:rPr>
        <w:t>Voluntary Nature of Agreement</w:t>
      </w:r>
      <w:r>
        <w:rPr>
          <w:rFonts w:ascii="Times New Roman;serif" w:hAnsi="Times New Roman;serif"/>
          <w:b w:val="false"/>
          <w:color w:val="000000"/>
          <w:sz w:val="22"/>
        </w:rPr>
        <w:t>. I ACKNOWLEDGE AND AGREE THAT I AM EXECUTING THIS AGREEMENT VOLUNTARILY AND WITHOUT ANY DURESS OR UNDUE INFLUENCE BY THE COMPANY OR ANYONE ELSE. I FURTHER ACKNOWLEDGE AND AGREE THAT I HAVE CAREFULLY READ THIS AGREEMENT AND THAT I HAVE ASKED ANY QUESTIONS NEEDED FOR ME TO UNDERSTAND THE TERMS, CONSEQUENCES, AND BINDING EFFECT OF THIS AGREEMENT AND FULLY UNDERSTAND IT, INCLUDING THAT I AM WAIVING MY RIGHT TO A JURY TRIAL. FINALLY, I AGREE THAT I HAVE BEEN PROVIDED AN OPPORTUNITY TO SEEK THE ADVICE OF AN ATTORNEY OF MY CHOICE BEFORE SIGNING THIS AGREEMENT.</w:t>
      </w:r>
    </w:p>
    <w:p>
      <w:pPr>
        <w:pStyle w:val="TextBody"/>
        <w:bidi w:val="0"/>
        <w:spacing w:lineRule="auto" w:line="288" w:before="243" w:after="283"/>
        <w:jc w:val="left"/>
        <w:rPr>
          <w:rFonts w:ascii="Times New Roman;serif" w:hAnsi="Times New Roman;serif"/>
          <w:b/>
          <w:color w:val="000000"/>
          <w:sz w:val="22"/>
          <w:u w:val="single"/>
        </w:rPr>
      </w:pPr>
      <w:r>
        <w:rPr>
          <w:rFonts w:ascii="Times New Roman;serif" w:hAnsi="Times New Roman;serif"/>
          <w:b/>
          <w:color w:val="000000"/>
          <w:sz w:val="22"/>
          <w:u w:val="single"/>
        </w:rPr>
        <w:t>Miscellaneous</w:t>
      </w:r>
    </w:p>
    <w:p>
      <w:pPr>
        <w:pStyle w:val="TextBody"/>
        <w:bidi w:val="0"/>
        <w:spacing w:lineRule="auto" w:line="288" w:before="237" w:after="283"/>
        <w:ind w:left="0" w:right="0" w:firstLine="719"/>
        <w:jc w:val="both"/>
        <w:rPr/>
      </w:pPr>
      <w:r>
        <w:rPr>
          <w:rFonts w:ascii="Times New Roman;serif" w:hAnsi="Times New Roman;serif"/>
          <w:b w:val="false"/>
          <w:i/>
          <w:color w:val="000000"/>
          <w:sz w:val="22"/>
        </w:rPr>
        <w:t>Governing Law</w:t>
      </w:r>
      <w:r>
        <w:rPr>
          <w:rFonts w:ascii="Times New Roman;serif" w:hAnsi="Times New Roman;serif"/>
          <w:b w:val="false"/>
          <w:color w:val="000000"/>
          <w:sz w:val="22"/>
        </w:rPr>
        <w:t>. With the exception of the arbitration requirements set forth herein, this Agreement will be governed by the laws of the state in which I work for the Company at the time my employment with the Company commences without regard to that state’s conflicts of law rules that may result in the application of the laws of any jurisdiction other than that state.</w:t>
      </w:r>
    </w:p>
    <w:p>
      <w:pPr>
        <w:pStyle w:val="TextBody"/>
        <w:bidi w:val="0"/>
        <w:spacing w:lineRule="auto" w:line="288" w:before="239" w:after="283"/>
        <w:ind w:left="0" w:right="0" w:firstLine="719"/>
        <w:jc w:val="both"/>
        <w:rPr/>
      </w:pPr>
      <w:r>
        <w:rPr>
          <w:rFonts w:ascii="Times New Roman;serif" w:hAnsi="Times New Roman;serif"/>
          <w:b w:val="false"/>
          <w:i/>
          <w:color w:val="000000"/>
          <w:sz w:val="22"/>
        </w:rPr>
        <w:t>Waiver of Trial by Jury</w:t>
      </w:r>
      <w:r>
        <w:rPr>
          <w:rFonts w:ascii="Times New Roman;serif" w:hAnsi="Times New Roman;serif"/>
          <w:b w:val="false"/>
          <w:color w:val="000000"/>
          <w:sz w:val="22"/>
        </w:rPr>
        <w:t>. TO THE EXTENT THAT ANY LAWSUIT IS PERMITTED UNDER THIS AGREEMENT, I IRREVOCABLY AND UNCONDITIONALLY WAIVE MY RIGHT TO A TRIAL BY JURY IN ANY LAWSUIT DIRECTLY OR INDIRECTLY ARISING OUT OF OR RELATING TO THIS AGREEMENT OR MY RELATIONSHIP WITH THE COMPANY AND ACKNOWLEDGE THAT I AM KNOWINGLY AND VOLUNTARILY WAIVING MY RIGHT TO A TRIAL BY JURY.</w:t>
      </w:r>
    </w:p>
    <w:p>
      <w:pPr>
        <w:pStyle w:val="TextBody"/>
        <w:bidi w:val="0"/>
        <w:spacing w:lineRule="auto" w:line="288" w:before="241" w:after="283"/>
        <w:ind w:left="0" w:right="0" w:firstLine="719"/>
        <w:jc w:val="left"/>
        <w:rPr/>
      </w:pPr>
      <w:r>
        <w:rPr>
          <w:rFonts w:ascii="Times New Roman;serif" w:hAnsi="Times New Roman;serif"/>
          <w:b w:val="false"/>
          <w:i/>
          <w:color w:val="000000"/>
          <w:sz w:val="22"/>
        </w:rPr>
        <w:t>Exception for North Carolina Employees</w:t>
      </w:r>
      <w:r>
        <w:rPr>
          <w:rFonts w:ascii="Times New Roman;serif" w:hAnsi="Times New Roman;serif"/>
          <w:b w:val="false"/>
          <w:color w:val="000000"/>
          <w:sz w:val="22"/>
        </w:rPr>
        <w:t>. Section 13.B. shall not apply to me if I work for the Company in the State of North Carolina at the commencement of my employment with the Company.</w:t>
      </w:r>
    </w:p>
    <w:p>
      <w:pPr>
        <w:pStyle w:val="TextBody"/>
        <w:bidi w:val="0"/>
        <w:spacing w:lineRule="auto" w:line="288" w:before="241" w:after="283"/>
        <w:ind w:left="0" w:right="0" w:firstLine="719"/>
        <w:jc w:val="both"/>
        <w:rPr/>
      </w:pPr>
      <w:r>
        <w:rPr>
          <w:rFonts w:ascii="Times New Roman;serif" w:hAnsi="Times New Roman;serif"/>
          <w:b w:val="false"/>
          <w:i/>
          <w:color w:val="000000"/>
          <w:sz w:val="22"/>
        </w:rPr>
        <w:t>Assignability</w:t>
      </w:r>
      <w:r>
        <w:rPr>
          <w:rFonts w:ascii="Times New Roman;serif" w:hAnsi="Times New Roman;serif"/>
          <w:b w:val="false"/>
          <w:color w:val="000000"/>
          <w:sz w:val="22"/>
        </w:rPr>
        <w:t xml:space="preserve">. This Agreement will be binding upon my heirs, executors, assigns, administrators, and other legal representatives, and will be for the benefit of the Company, its successors, and its assigns. The Associated Third Parties are intended third-party beneficiaries to this Agreement with respect to my obligations in </w:t>
      </w:r>
      <w:r>
        <w:rPr>
          <w:rFonts w:ascii="Times New Roman;serif" w:hAnsi="Times New Roman;serif"/>
          <w:b/>
          <w:color w:val="000000"/>
          <w:sz w:val="22"/>
        </w:rPr>
        <w:t xml:space="preserve">Section 2.D. </w:t>
      </w:r>
      <w:r>
        <w:rPr>
          <w:rFonts w:ascii="Times New Roman;serif" w:hAnsi="Times New Roman;serif"/>
          <w:b w:val="false"/>
          <w:color w:val="000000"/>
          <w:sz w:val="22"/>
        </w:rPr>
        <w:t>Notwithstanding anything to the contrary herein, the Company may assign this Agreement and its rights and obligations under this Agreement to any successor to all or substantially all of the Company’s relevant assets, whether by merger, consolidation, reorganization, reincorporation, sale of assets or stock, or otherwise. For the avoidance of doubt, the Company’s successors and assigns are authorized to enforce the Company’s rights under this Agreement.</w:t>
      </w:r>
    </w:p>
    <w:p>
      <w:pPr>
        <w:pStyle w:val="TextBody"/>
        <w:bidi w:val="0"/>
        <w:jc w:val="both"/>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6480175" cy="175260"/>
                <wp:effectExtent l="0" t="0" r="0" b="0"/>
                <wp:wrapNone/>
                <wp:docPr id="239" name="Frame2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1" w:after="283"/>
        <w:jc w:val="left"/>
        <w:rPr/>
      </w:pPr>
      <w:r>
        <w:rPr/>
      </w:r>
    </w:p>
    <w:p>
      <w:pPr>
        <w:pStyle w:val="TextBody"/>
        <w:bidi w:val="0"/>
        <w:spacing w:lineRule="auto" w:line="288" w:before="0" w:after="0"/>
        <w:ind w:left="0" w:right="0" w:firstLine="719"/>
        <w:jc w:val="both"/>
        <w:rPr/>
      </w:pPr>
      <w:r>
        <w:rPr>
          <w:rFonts w:ascii="Times New Roman;serif" w:hAnsi="Times New Roman;serif"/>
          <w:b w:val="false"/>
          <w:i/>
          <w:color w:val="000000"/>
          <w:sz w:val="22"/>
        </w:rPr>
        <w:t>Entire Agreement</w:t>
      </w:r>
      <w:r>
        <w:rPr>
          <w:rFonts w:ascii="Times New Roman;serif" w:hAnsi="Times New Roman;serif"/>
          <w:b w:val="false"/>
          <w:color w:val="000000"/>
          <w:sz w:val="22"/>
        </w:rPr>
        <w:t>. This Agreement, together with the Exhibits herein and any executed written offer letter between me and the Company, to the extent such materials are not in conflict with this Agreement, sets forth the entire agreement and understanding between the Company and me with respect to the subject matter herein and supersedes all prior written and oral agreements, discussions, or representations between us, including, but not limited to, any representations made during my interview(s) or relocation negotiations. I represent and warrant that I am not relying on any statement or representation not contained in this Agreement. Any subsequent change or changes in my duties, salary, compensation, conditions or any other terms of my employment will not affect the validity or scope of this Agreement.</w:t>
      </w:r>
    </w:p>
    <w:p>
      <w:pPr>
        <w:pStyle w:val="TextBody"/>
        <w:bidi w:val="0"/>
        <w:spacing w:lineRule="auto" w:line="288" w:before="240" w:after="283"/>
        <w:ind w:left="0" w:right="0" w:firstLine="719"/>
        <w:jc w:val="both"/>
        <w:rPr/>
      </w:pPr>
      <w:r>
        <w:rPr>
          <w:rFonts w:ascii="Times New Roman;serif" w:hAnsi="Times New Roman;serif"/>
          <w:b w:val="false"/>
          <w:i/>
          <w:color w:val="000000"/>
          <w:sz w:val="22"/>
        </w:rPr>
        <w:t>Headings</w:t>
      </w:r>
      <w:r>
        <w:rPr>
          <w:rFonts w:ascii="Times New Roman;serif" w:hAnsi="Times New Roman;serif"/>
          <w:b w:val="false"/>
          <w:color w:val="000000"/>
          <w:sz w:val="22"/>
        </w:rPr>
        <w:t>. Headings are used in this Agreement for reference only and shall not be considered when interpreting this Agreement.</w:t>
      </w:r>
    </w:p>
    <w:p>
      <w:pPr>
        <w:pStyle w:val="TextBody"/>
        <w:bidi w:val="0"/>
        <w:spacing w:lineRule="auto" w:line="288" w:before="241" w:after="283"/>
        <w:ind w:left="0" w:right="0" w:firstLine="719"/>
        <w:jc w:val="both"/>
        <w:rPr/>
      </w:pPr>
      <w:r>
        <w:rPr>
          <w:rFonts w:ascii="Times New Roman;serif" w:hAnsi="Times New Roman;serif"/>
          <w:b w:val="false"/>
          <w:i/>
          <w:color w:val="000000"/>
          <w:sz w:val="22"/>
        </w:rPr>
        <w:t>Severability</w:t>
      </w:r>
      <w:r>
        <w:rPr>
          <w:rFonts w:ascii="Times New Roman;serif" w:hAnsi="Times New Roman;serif"/>
          <w:b w:val="false"/>
          <w:color w:val="000000"/>
          <w:sz w:val="22"/>
        </w:rPr>
        <w:t>. If a court or other body of competent jurisdiction finds, or the parties to this agreement mutually believe, any provision of this Agreement, or portion thereof, to be invalid or unenforceable, such provision will be enforced to the maximum extent permissible so as to effect the intent of the parties, and the remainder of this Agreement will continue in full force and effect.</w:t>
      </w:r>
    </w:p>
    <w:p>
      <w:pPr>
        <w:pStyle w:val="TextBody"/>
        <w:bidi w:val="0"/>
        <w:spacing w:lineRule="auto" w:line="288" w:before="241" w:after="283"/>
        <w:ind w:left="0" w:right="0" w:firstLine="719"/>
        <w:jc w:val="both"/>
        <w:rPr/>
      </w:pPr>
      <w:r>
        <w:rPr>
          <w:rFonts w:ascii="Times New Roman;serif" w:hAnsi="Times New Roman;serif"/>
          <w:b w:val="false"/>
          <w:i/>
          <w:color w:val="000000"/>
          <w:sz w:val="22"/>
        </w:rPr>
        <w:t xml:space="preserve">Modification, Waiver. </w:t>
      </w:r>
      <w:r>
        <w:rPr>
          <w:rFonts w:ascii="Times New Roman;serif" w:hAnsi="Times New Roman;serif"/>
          <w:b w:val="false"/>
          <w:color w:val="000000"/>
          <w:sz w:val="22"/>
        </w:rPr>
        <w:t>No modification of or amendment to this Agreement, nor any waiver of any rights under this Agreement, will be effective unless in a writing signed by the CEO of the Company and me. Waiver by the Company of a breach of any provision of this Agreement will not operate as a waiver of any other or subsequent breach.</w:t>
      </w:r>
    </w:p>
    <w:p>
      <w:pPr>
        <w:pStyle w:val="TextBody"/>
        <w:bidi w:val="0"/>
        <w:spacing w:lineRule="auto" w:line="288" w:before="239" w:after="283"/>
        <w:ind w:left="0" w:right="0" w:firstLine="719"/>
        <w:jc w:val="both"/>
        <w:rPr/>
      </w:pPr>
      <w:r>
        <w:rPr>
          <w:rFonts w:ascii="Times New Roman;serif" w:hAnsi="Times New Roman;serif"/>
          <w:b w:val="false"/>
          <w:i/>
          <w:color w:val="000000"/>
          <w:sz w:val="22"/>
        </w:rPr>
        <w:t xml:space="preserve">Survivorship. </w:t>
      </w:r>
      <w:r>
        <w:rPr>
          <w:rFonts w:ascii="Times New Roman;serif" w:hAnsi="Times New Roman;serif"/>
          <w:b w:val="false"/>
          <w:color w:val="000000"/>
          <w:sz w:val="22"/>
        </w:rPr>
        <w:t>The rights and obligations of the parties to this Agreement will survive termination of my employment with the Company.</w:t>
      </w:r>
    </w:p>
    <w:p>
      <w:pPr>
        <w:pStyle w:val="TextBody"/>
        <w:bidi w:val="0"/>
        <w:spacing w:lineRule="atLeast" w:line="253" w:before="245" w:after="283"/>
        <w:jc w:val="left"/>
        <w:rPr>
          <w:rFonts w:ascii="Times New Roman;serif" w:hAnsi="Times New Roman;serif"/>
          <w:b/>
          <w:color w:val="000000"/>
          <w:sz w:val="22"/>
          <w:u w:val="single"/>
        </w:rPr>
      </w:pPr>
      <w:r>
        <w:rPr>
          <w:rFonts w:ascii="Times New Roman;serif" w:hAnsi="Times New Roman;serif"/>
          <w:b/>
          <w:color w:val="000000"/>
          <w:sz w:val="22"/>
          <w:u w:val="single"/>
        </w:rPr>
        <w:t>Protected Activity Not Prohibited</w:t>
      </w:r>
    </w:p>
    <w:p>
      <w:pPr>
        <w:pStyle w:val="TextBody"/>
        <w:bidi w:val="0"/>
        <w:spacing w:lineRule="auto" w:line="288" w:before="0" w:after="0"/>
        <w:ind w:left="0" w:right="0" w:firstLine="719"/>
        <w:jc w:val="both"/>
        <w:rPr/>
      </w:pPr>
      <w:r>
        <w:rPr>
          <w:rFonts w:ascii="sans-serif" w:hAnsi="sans-serif"/>
          <w:b w:val="false"/>
          <w:color w:val="000000"/>
          <w:sz w:val="22"/>
        </w:rPr>
        <w:t>I understand that nothing in this Agreement limits or prohibits me from filing and/or pursuing a charge or complaint with, or otherwise communicating or cooperating with or participating in any investigation or proceeding that may be conducted by, any federal, state or local government agency or commission, including the Securities and Exchange Commission, the Equal Employment Opportunity Commission, the Occupational Safety and Health Administration, and the National Labor Relations Board (“</w:t>
      </w:r>
      <w:r>
        <w:rPr>
          <w:rFonts w:ascii="sans-serif" w:hAnsi="sans-serif"/>
          <w:b/>
          <w:color w:val="000000"/>
          <w:sz w:val="22"/>
        </w:rPr>
        <w:t>Government Agencies</w:t>
      </w:r>
      <w:r>
        <w:rPr>
          <w:color w:val="000000"/>
        </w:rPr>
        <w:t>”</w:t>
      </w:r>
      <w:r>
        <w:rPr>
          <w:rFonts w:ascii="sans-serif" w:hAnsi="sans-serif"/>
          <w:b w:val="false"/>
          <w:color w:val="000000"/>
          <w:sz w:val="22"/>
        </w:rPr>
        <w:t xml:space="preserve">), including disclosing documents or other information as permitted by law. Notwithstanding, in making any such disclosures or communications, I agree to take all reasonable precautions to prevent any unauthorized use or disclosure of any information that may constitute Company Confidential Information to any parties other than the Government Agencies that does not involve the conduct protected in this Section 14. I further understand that I am not permitted to disclose the Company’s attorney-client privileged communications or attorney work product. Additionally, I understand that nothing in this Agreement, including its definition of Company Confidential Information, limits employees’ rights to discuss or disclose the terms, wages, and terms and conditions of employment as protected by applicable law, including any rights under Section 7 of the National Labor Relations Act (or otherwise impairs employees from assisting other Company employees and/or former employees in the exercise of their rights under Section 7 of the National Labor Relations Act). In addition, I hereby acknowledge that the Company has provided me with notice in compliance with the Defend Trade Secrets Act of 2016 regarding immunity from liability for limited disclosures of trade secrets. The full text of the notice is attached in </w:t>
      </w:r>
      <w:r>
        <w:rPr>
          <w:rFonts w:ascii="sans-serif" w:hAnsi="sans-serif"/>
          <w:b w:val="false"/>
          <w:color w:val="000000"/>
          <w:sz w:val="22"/>
          <w:u w:val="single"/>
        </w:rPr>
        <w:t>Exhibit D</w:t>
      </w:r>
      <w:r>
        <w:rPr>
          <w:rFonts w:ascii="sans-serif" w:hAnsi="sans-serif"/>
          <w:b w:val="false"/>
          <w:color w:val="000000"/>
          <w:sz w:val="22"/>
        </w:rPr>
        <w:t>.</w:t>
      </w:r>
    </w:p>
    <w:p>
      <w:pPr>
        <w:pStyle w:val="TextBody"/>
        <w:bidi w:val="0"/>
        <w:jc w:val="both"/>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6480175" cy="175260"/>
                <wp:effectExtent l="0" t="0" r="0" b="0"/>
                <wp:wrapNone/>
                <wp:docPr id="240" name="Frame2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left"/>
        <w:rPr/>
      </w:pPr>
      <w:r>
        <w:rPr/>
      </w:r>
    </w:p>
    <w:tbl>
      <w:tblPr>
        <w:tblW w:w="5997" w:type="dxa"/>
        <w:jc w:val="left"/>
        <w:tblInd w:w="0" w:type="dxa"/>
        <w:tblLayout w:type="fixed"/>
        <w:tblCellMar>
          <w:top w:w="28" w:type="dxa"/>
          <w:left w:w="28" w:type="dxa"/>
          <w:bottom w:w="28" w:type="dxa"/>
          <w:right w:w="28" w:type="dxa"/>
        </w:tblCellMar>
      </w:tblPr>
      <w:tblGrid>
        <w:gridCol w:w="1688"/>
        <w:gridCol w:w="1486"/>
        <w:gridCol w:w="1491"/>
        <w:gridCol w:w="109"/>
        <w:gridCol w:w="109"/>
        <w:gridCol w:w="109"/>
        <w:gridCol w:w="294"/>
        <w:gridCol w:w="294"/>
        <w:gridCol w:w="417"/>
      </w:tblGrid>
      <w:tr>
        <w:trPr/>
        <w:tc>
          <w:tcPr>
            <w:tcW w:w="1688"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1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r>
      <w:tr>
        <w:trPr/>
        <w:tc>
          <w:tcPr>
            <w:tcW w:w="4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Laura Schmidt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11/1/2024</w:t>
            </w:r>
          </w:p>
        </w:tc>
      </w:tr>
      <w:tr>
        <w:trPr/>
        <w:tc>
          <w:tcPr>
            <w:tcW w:w="46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Laura Schmidt, Vice President of People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Minchung Kgil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11/1/2024</w:t>
            </w:r>
          </w:p>
        </w:tc>
      </w:tr>
      <w:tr>
        <w:trPr/>
        <w:tc>
          <w:tcPr>
            <w:tcW w:w="46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4" w:after="1"/>
        <w:jc w:val="left"/>
        <w:rPr/>
      </w:pPr>
      <w:r>
        <w:rPr/>
      </w:r>
    </w:p>
    <w:p>
      <w:pPr>
        <w:pStyle w:val="TextBody"/>
        <w:bidi w:val="0"/>
        <w:spacing w:before="0" w:after="0"/>
        <w:jc w:val="left"/>
        <w:rPr/>
      </w:pPr>
      <w:r>
        <w:rPr/>
      </w:r>
    </w:p>
    <w:p>
      <w:pPr>
        <w:pStyle w:val="TextBody"/>
        <w:bidi w:val="0"/>
        <w:spacing w:before="13"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6480175" cy="175260"/>
                <wp:effectExtent l="0" t="0" r="0" b="0"/>
                <wp:wrapNone/>
                <wp:docPr id="241" name="Frame2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2"/>
          <w:u w:val="single"/>
        </w:rPr>
      </w:pPr>
      <w:r>
        <w:rPr>
          <w:rFonts w:ascii="Times New Roman;serif" w:hAnsi="Times New Roman;serif"/>
          <w:b/>
          <w:color w:val="000000"/>
          <w:sz w:val="22"/>
          <w:u w:val="single"/>
        </w:rPr>
        <w:t>EXHIBIT A</w:t>
      </w:r>
    </w:p>
    <w:p>
      <w:pPr>
        <w:pStyle w:val="TextBody"/>
        <w:bidi w:val="0"/>
        <w:spacing w:lineRule="auto" w:line="288" w:before="239" w:after="283"/>
        <w:jc w:val="center"/>
        <w:rPr>
          <w:rFonts w:ascii="Times New Roman;serif" w:hAnsi="Times New Roman;serif"/>
          <w:b/>
          <w:color w:val="000000"/>
          <w:sz w:val="22"/>
        </w:rPr>
      </w:pPr>
      <w:r>
        <w:rPr>
          <w:rFonts w:ascii="Times New Roman;serif" w:hAnsi="Times New Roman;serif"/>
          <w:b/>
          <w:color w:val="000000"/>
          <w:sz w:val="22"/>
        </w:rPr>
        <w:t>LIST OF PRIOR INVENTIONS</w:t>
      </w:r>
    </w:p>
    <w:p>
      <w:pPr>
        <w:pStyle w:val="TextBody"/>
        <w:bidi w:val="0"/>
        <w:spacing w:lineRule="auto" w:line="288" w:before="1" w:after="283"/>
        <w:jc w:val="center"/>
        <w:rPr>
          <w:rFonts w:ascii="Times New Roman;serif" w:hAnsi="Times New Roman;serif"/>
          <w:b/>
          <w:color w:val="000000"/>
          <w:sz w:val="22"/>
        </w:rPr>
      </w:pPr>
      <w:r>
        <w:rPr>
          <w:rFonts w:ascii="Times New Roman;serif" w:hAnsi="Times New Roman;serif"/>
          <w:b/>
          <w:color w:val="000000"/>
          <w:sz w:val="22"/>
        </w:rPr>
        <w:t>AND ORIGINAL WORKS OF AUTHORSHIP</w:t>
      </w:r>
    </w:p>
    <w:p>
      <w:pPr>
        <w:pStyle w:val="TextBody"/>
        <w:bidi w:val="0"/>
        <w:spacing w:before="8" w:after="283"/>
        <w:jc w:val="left"/>
        <w:rPr/>
      </w:pPr>
      <w:r>
        <w:rPr/>
      </w:r>
    </w:p>
    <w:p>
      <w:pPr>
        <w:pStyle w:val="TextBody"/>
        <w:bidi w:val="0"/>
        <w:spacing w:before="92" w:after="283"/>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124" w:after="283"/>
        <w:jc w:val="left"/>
        <w:rPr/>
      </w:pPr>
      <w:r>
        <w:rPr/>
      </w:r>
    </w:p>
    <w:p>
      <w:pPr>
        <w:pStyle w:val="TextBody"/>
        <w:bidi w:val="0"/>
        <w:spacing w:before="91" w:after="283"/>
        <w:ind w:left="0" w:right="0" w:firstLine="130"/>
        <w:jc w:val="left"/>
        <w:rPr/>
      </w:pPr>
      <w:r>
        <w:rPr/>
      </w:r>
    </w:p>
    <w:p>
      <w:pPr>
        <w:pStyle w:val="TextBody"/>
        <w:bidi w:val="0"/>
        <w:spacing w:before="0" w:after="0"/>
        <w:ind w:left="0" w:right="0" w:firstLine="130"/>
        <w:jc w:val="left"/>
        <w:rPr/>
      </w:pPr>
      <w:r>
        <w:rPr/>
      </w:r>
    </w:p>
    <w:tbl>
      <w:tblPr>
        <w:tblW w:w="5170" w:type="dxa"/>
        <w:jc w:val="left"/>
        <w:tblInd w:w="0" w:type="dxa"/>
        <w:tblLayout w:type="fixed"/>
        <w:tblCellMar>
          <w:top w:w="28" w:type="dxa"/>
          <w:left w:w="28" w:type="dxa"/>
          <w:bottom w:w="28" w:type="dxa"/>
          <w:right w:w="28" w:type="dxa"/>
        </w:tblCellMar>
      </w:tblPr>
      <w:tblGrid>
        <w:gridCol w:w="179"/>
        <w:gridCol w:w="158"/>
        <w:gridCol w:w="159"/>
        <w:gridCol w:w="109"/>
        <w:gridCol w:w="109"/>
        <w:gridCol w:w="109"/>
        <w:gridCol w:w="170"/>
        <w:gridCol w:w="170"/>
        <w:gridCol w:w="171"/>
        <w:gridCol w:w="109"/>
        <w:gridCol w:w="109"/>
        <w:gridCol w:w="109"/>
        <w:gridCol w:w="1025"/>
        <w:gridCol w:w="1025"/>
        <w:gridCol w:w="1459"/>
      </w:tblGrid>
      <w:tr>
        <w:trPr/>
        <w:tc>
          <w:tcPr>
            <w:tcW w:w="17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459" w:type="dxa"/>
            <w:tcBorders/>
            <w:vAlign w:val="center"/>
          </w:tcPr>
          <w:p>
            <w:pPr>
              <w:pStyle w:val="TableContents"/>
              <w:bidi w:val="0"/>
              <w:spacing w:before="0" w:after="283"/>
              <w:jc w:val="left"/>
              <w:rPr>
                <w:sz w:val="4"/>
                <w:szCs w:val="4"/>
              </w:rPr>
            </w:pPr>
            <w:r>
              <w:rPr>
                <w:sz w:val="4"/>
                <w:szCs w:val="4"/>
              </w:rPr>
            </w:r>
          </w:p>
        </w:tc>
      </w:tr>
      <w:tr>
        <w:trPr/>
        <w:tc>
          <w:tcPr>
            <w:tcW w:w="4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Identifying Number or Brief Description</w:t>
            </w:r>
          </w:p>
        </w:tc>
      </w:tr>
      <w:tr>
        <w:trPr/>
        <w:tc>
          <w:tcPr>
            <w:tcW w:w="4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161" w:after="283"/>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color w:val="000000"/>
          <w:u w:val="single"/>
        </w:rPr>
        <w:t>    </w:t>
      </w:r>
      <w:r>
        <w:rPr>
          <w:rFonts w:ascii="sans-serif" w:hAnsi="sans-serif"/>
          <w:b w:val="false"/>
          <w:color w:val="000000"/>
          <w:sz w:val="22"/>
        </w:rPr>
        <w:t>No inventions or improvements</w:t>
      </w:r>
    </w:p>
    <w:p>
      <w:pPr>
        <w:pStyle w:val="TextBody"/>
        <w:bidi w:val="0"/>
        <w:spacing w:lineRule="auto" w:line="288" w:before="0" w:after="0"/>
        <w:jc w:val="left"/>
        <w:rPr/>
      </w:pPr>
      <w:r>
        <w:rPr>
          <w:color w:val="000000"/>
          <w:u w:val="single"/>
        </w:rPr>
        <w:t>    </w:t>
      </w:r>
      <w:r>
        <w:rPr>
          <w:rFonts w:ascii="sans-serif" w:hAnsi="sans-serif"/>
          <w:b w:val="false"/>
          <w:color w:val="000000"/>
          <w:sz w:val="22"/>
        </w:rPr>
        <w:t>Additional Sheets Attached</w:t>
      </w:r>
    </w:p>
    <w:p>
      <w:pPr>
        <w:pStyle w:val="TextBody"/>
        <w:bidi w:val="0"/>
        <w:spacing w:before="0" w:after="0"/>
        <w:jc w:val="left"/>
        <w:rPr/>
      </w:pPr>
      <w:r>
        <w:rPr/>
      </w:r>
    </w:p>
    <w:tbl>
      <w:tblPr>
        <w:tblW w:w="5997" w:type="dxa"/>
        <w:jc w:val="left"/>
        <w:tblInd w:w="0" w:type="dxa"/>
        <w:tblLayout w:type="fixed"/>
        <w:tblCellMar>
          <w:top w:w="28" w:type="dxa"/>
          <w:left w:w="28" w:type="dxa"/>
          <w:bottom w:w="28" w:type="dxa"/>
          <w:right w:w="28" w:type="dxa"/>
        </w:tblCellMar>
      </w:tblPr>
      <w:tblGrid>
        <w:gridCol w:w="1688"/>
        <w:gridCol w:w="1486"/>
        <w:gridCol w:w="1491"/>
        <w:gridCol w:w="109"/>
        <w:gridCol w:w="109"/>
        <w:gridCol w:w="109"/>
        <w:gridCol w:w="294"/>
        <w:gridCol w:w="294"/>
        <w:gridCol w:w="417"/>
      </w:tblGrid>
      <w:tr>
        <w:trPr/>
        <w:tc>
          <w:tcPr>
            <w:tcW w:w="1688"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1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r>
      <w:tr>
        <w:trPr/>
        <w:tc>
          <w:tcPr>
            <w:tcW w:w="4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Laura Schmidt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11/1/2024</w:t>
            </w:r>
          </w:p>
        </w:tc>
      </w:tr>
      <w:tr>
        <w:trPr/>
        <w:tc>
          <w:tcPr>
            <w:tcW w:w="46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Laura Schmidt, Vice President of People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Minchung Kgil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11/1/2024</w:t>
            </w:r>
          </w:p>
        </w:tc>
      </w:tr>
      <w:tr>
        <w:trPr/>
        <w:tc>
          <w:tcPr>
            <w:tcW w:w="46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 w:after="283"/>
        <w:jc w:val="left"/>
        <w:rPr/>
      </w:pPr>
      <w:r>
        <w:rPr/>
      </w:r>
    </w:p>
    <w:p>
      <w:pPr>
        <w:pStyle w:val="TextBody"/>
        <w:bidi w:val="0"/>
        <w:spacing w:before="0" w:after="283"/>
        <w:jc w:val="left"/>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6480175" cy="175260"/>
                <wp:effectExtent l="0" t="0" r="0" b="0"/>
                <wp:wrapNone/>
                <wp:docPr id="242" name="Frame2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288" w:before="0" w:after="0"/>
        <w:jc w:val="center"/>
        <w:rPr>
          <w:rFonts w:ascii="sans-serif" w:hAnsi="sans-serif"/>
          <w:b/>
          <w:color w:val="000000"/>
          <w:sz w:val="22"/>
        </w:rPr>
      </w:pPr>
      <w:r>
        <w:rPr>
          <w:rFonts w:ascii="sans-serif" w:hAnsi="sans-serif"/>
          <w:b/>
          <w:color w:val="000000"/>
          <w:sz w:val="22"/>
        </w:rPr>
        <w:t>EXHIBIT B</w:t>
      </w:r>
    </w:p>
    <w:p>
      <w:pPr>
        <w:pStyle w:val="TextBody"/>
        <w:bidi w:val="0"/>
        <w:spacing w:lineRule="atLeast" w:line="253" w:before="240" w:after="283"/>
        <w:jc w:val="center"/>
        <w:rPr>
          <w:rFonts w:ascii="Times New Roman;serif" w:hAnsi="Times New Roman;serif"/>
          <w:b/>
          <w:color w:val="000000"/>
          <w:sz w:val="22"/>
        </w:rPr>
      </w:pPr>
      <w:r>
        <w:rPr>
          <w:rFonts w:ascii="Times New Roman;serif" w:hAnsi="Times New Roman;serif"/>
          <w:b/>
          <w:color w:val="000000"/>
          <w:sz w:val="22"/>
        </w:rPr>
        <w:t>TERMINATION CERTIFICATION</w:t>
      </w:r>
    </w:p>
    <w:p>
      <w:pPr>
        <w:pStyle w:val="TextBody"/>
        <w:bidi w:val="0"/>
        <w:spacing w:lineRule="auto" w:line="288" w:before="0" w:after="0"/>
        <w:ind w:left="0" w:right="0" w:firstLine="719"/>
        <w:jc w:val="both"/>
        <w:rPr/>
      </w:pPr>
      <w:r>
        <w:rPr>
          <w:rFonts w:ascii="sans-serif" w:hAnsi="sans-serif"/>
          <w:b w:val="false"/>
          <w:color w:val="000000"/>
          <w:sz w:val="22"/>
        </w:rPr>
        <w:t>This is to certify that I do not have in my possession, nor have I failed to return, any devices, records, data, notes, reports, proposals, lists, correspondence, specifications, drawings, blueprints, sketches, materials, equipment, any other documents or property, or reproductions of any and all aforementioned items belonging to FT Intermediate,Inc. (the “</w:t>
      </w:r>
      <w:r>
        <w:rPr>
          <w:rFonts w:ascii="sans-serif" w:hAnsi="sans-serif"/>
          <w:b/>
          <w:color w:val="000000"/>
          <w:sz w:val="22"/>
        </w:rPr>
        <w:t>Company</w:t>
      </w:r>
      <w:r>
        <w:rPr>
          <w:color w:val="000000"/>
        </w:rPr>
        <w:t>”</w:t>
      </w:r>
      <w:r>
        <w:rPr>
          <w:rFonts w:ascii="sans-serif" w:hAnsi="sans-serif"/>
          <w:b w:val="false"/>
          <w:color w:val="000000"/>
          <w:sz w:val="22"/>
        </w:rPr>
        <w:t>). Notwithstanding the foregoing, I understand that I may keep a copy of the Company’s employee handbook and personnel records relating to me. I further certify that I have updated all of my social media accounts to delete any information, assertions, or suggestions to the effect that I am a current employee of the Company or am otherwise currently affiliated with the Company in any way.</w:t>
      </w:r>
    </w:p>
    <w:p>
      <w:pPr>
        <w:pStyle w:val="TextBody"/>
        <w:bidi w:val="0"/>
        <w:spacing w:lineRule="auto" w:line="288" w:before="0" w:after="0"/>
        <w:ind w:left="0" w:right="0" w:firstLine="719"/>
        <w:jc w:val="both"/>
        <w:rPr>
          <w:rFonts w:ascii="sans-serif" w:hAnsi="sans-serif"/>
          <w:b w:val="false"/>
          <w:color w:val="000000"/>
          <w:sz w:val="22"/>
        </w:rPr>
      </w:pPr>
      <w:r>
        <w:rPr>
          <w:rFonts w:ascii="sans-serif" w:hAnsi="sans-serif"/>
          <w:b w:val="false"/>
          <w:color w:val="000000"/>
          <w:sz w:val="22"/>
        </w:rPr>
        <w:t>I further certify that I have complied with all the terms of the Company’s At-Will Employment, Confidential Information, Invention Assignment, and Arbitration Agreement (the “Agreement”) signed by me, including the reporting of any inventions and original works of authorship (as defined therein) conceived or made by me (solely or jointly with others), as covered by that Agreement.</w:t>
      </w:r>
    </w:p>
    <w:p>
      <w:pPr>
        <w:pStyle w:val="TextBody"/>
        <w:bidi w:val="0"/>
        <w:spacing w:lineRule="auto" w:line="288" w:before="1" w:after="283"/>
        <w:ind w:left="0" w:right="0" w:firstLine="719"/>
        <w:jc w:val="both"/>
        <w:rPr>
          <w:rFonts w:ascii="sans-serif" w:hAnsi="sans-serif"/>
          <w:b w:val="false"/>
          <w:color w:val="000000"/>
          <w:sz w:val="22"/>
        </w:rPr>
      </w:pPr>
      <w:r>
        <w:rPr>
          <w:rFonts w:ascii="sans-serif" w:hAnsi="sans-serif"/>
          <w:b w:val="false"/>
          <w:color w:val="000000"/>
          <w:sz w:val="22"/>
        </w:rPr>
        <w:t>I understand that pursuant to the Agreement, and subject to its protected activity exclusion, I am obligated to preserve, as confidential, all Company Confidential Information and Associated Third Party Confidential Information, including trade secrets, confidential knowledge, data, or other proprietary information relating to products, processes, know-how, designs, formulas, developmental or experimental work, computer programs, databases, other original works of authorship, customer lists, business plans, financial information, or other subject matter pertaining to any business of the Company or any of its employees, clients, consultants, or licensees.</w:t>
      </w:r>
    </w:p>
    <w:p>
      <w:pPr>
        <w:pStyle w:val="TextBody"/>
        <w:bidi w:val="0"/>
        <w:spacing w:lineRule="auto" w:line="288" w:before="0" w:after="0"/>
        <w:ind w:left="0" w:right="0" w:firstLine="719"/>
        <w:jc w:val="left"/>
        <w:rPr>
          <w:rFonts w:ascii="sans-serif" w:hAnsi="sans-serif"/>
          <w:b w:val="false"/>
          <w:color w:val="000000"/>
          <w:sz w:val="22"/>
        </w:rPr>
      </w:pPr>
      <w:r>
        <w:rPr>
          <w:rFonts w:ascii="sans-serif" w:hAnsi="sans-serif"/>
          <w:b w:val="false"/>
          <w:color w:val="000000"/>
          <w:sz w:val="22"/>
        </w:rPr>
        <w:t>I also agree that for twelve (12) months from this date, I will comply with the non-competition and non-solicitation provisions, as set forth in Section 7 of the Agreement.</w:t>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After    leaving    the    Company’s    employment,    I    will    be    employed    by</w:t>
      </w:r>
    </w:p>
    <w:p>
      <w:pPr>
        <w:pStyle w:val="TextBody"/>
        <w:bidi w:val="0"/>
        <w:spacing w:lineRule="auto" w:line="288" w:before="135" w:after="283"/>
        <w:jc w:val="left"/>
        <w:rPr/>
      </w:pPr>
      <w:r>
        <w:rPr>
          <w:color w:val="000000"/>
          <w:u w:val="single"/>
        </w:rPr>
        <w:t>    </w:t>
      </w:r>
      <w:r>
        <w:rPr>
          <w:color w:val="000000"/>
        </w:rPr>
        <w:t>    </w:t>
      </w:r>
      <w:r>
        <w:rPr>
          <w:rFonts w:ascii="sans-serif" w:hAnsi="sans-serif"/>
          <w:b w:val="false"/>
          <w:color w:val="000000"/>
          <w:sz w:val="22"/>
        </w:rPr>
        <w:t>in    the    position    of</w:t>
      </w:r>
    </w:p>
    <w:p>
      <w:pPr>
        <w:pStyle w:val="TextBody"/>
        <w:bidi w:val="0"/>
        <w:spacing w:lineRule="auto" w:line="288" w:before="134" w:after="283"/>
        <w:jc w:val="left"/>
        <w:rPr/>
      </w:pPr>
      <w:r>
        <w:rPr>
          <w:color w:val="000000"/>
          <w:u w:val="single"/>
        </w:rPr>
        <w:t>    </w:t>
      </w:r>
      <w:r>
        <w:rPr>
          <w:rFonts w:ascii="sans-serif" w:hAnsi="sans-serif"/>
          <w:b w:val="false"/>
          <w:color w:val="000000"/>
          <w:sz w:val="22"/>
        </w:rPr>
        <w:t>.</w:t>
      </w:r>
    </w:p>
    <w:p>
      <w:pPr>
        <w:pStyle w:val="TextBody"/>
        <w:bidi w:val="0"/>
        <w:spacing w:before="0" w:after="0"/>
        <w:jc w:val="left"/>
        <w:rPr/>
      </w:pPr>
      <w:r>
        <w:rPr/>
      </w:r>
    </w:p>
    <w:p>
      <w:pPr>
        <w:pStyle w:val="TextBody"/>
        <w:bidi w:val="0"/>
        <w:spacing w:before="72" w:after="283"/>
        <w:jc w:val="left"/>
        <w:rPr/>
      </w:pPr>
      <w:r>
        <w:rPr/>
      </w:r>
    </w:p>
    <w:p>
      <w:pPr>
        <w:pStyle w:val="TextBody"/>
        <w:bidi w:val="0"/>
        <w:spacing w:lineRule="auto" w:line="288" w:before="0" w:after="0"/>
        <w:jc w:val="both"/>
        <w:rPr/>
      </w:pPr>
      <w:r>
        <w:rPr>
          <w:rFonts w:ascii="Times New Roman;serif" w:hAnsi="Times New Roman;serif"/>
          <w:b w:val="false"/>
          <w:color w:val="000000"/>
          <w:sz w:val="22"/>
        </w:rPr>
        <w:t>Date:</w:t>
      </w:r>
      <w:r>
        <w:rPr>
          <w:color w:val="000000"/>
          <w:u w:val="single"/>
        </w:rPr>
        <w:t>    </w:t>
      </w:r>
      <w:r>
        <w:rPr>
          <w:color w:val="000000"/>
        </w:rPr>
        <w:t xml:space="preserve"> </w:t>
      </w:r>
      <w:r>
        <w:rPr>
          <w:rFonts w:ascii="Times New Roman;serif" w:hAnsi="Times New Roman;serif"/>
          <w:b w:val="false"/>
          <w:color w:val="000000"/>
          <w:sz w:val="22"/>
        </w:rPr>
        <w:t>Signature</w:t>
      </w:r>
      <w:r>
        <w:rPr>
          <w:color w:val="000000"/>
          <w:u w:val="single"/>
        </w:rPr>
        <w:t>    </w:t>
      </w:r>
      <w:r>
        <w:rPr>
          <w:color w:val="000000"/>
        </w:rPr>
        <w:t xml:space="preserve"> </w:t>
      </w:r>
      <w:r>
        <w:rPr>
          <w:rFonts w:ascii="Times New Roman;serif" w:hAnsi="Times New Roman;serif"/>
          <w:b w:val="false"/>
          <w:color w:val="000000"/>
          <w:sz w:val="22"/>
        </w:rPr>
        <w:t xml:space="preserve">Name of Employee </w:t>
      </w:r>
      <w:r>
        <w:rPr>
          <w:color w:val="000000"/>
          <w:u w:val="single"/>
        </w:rPr>
        <w:t xml:space="preserve">     </w:t>
      </w:r>
    </w:p>
    <w:p>
      <w:pPr>
        <w:pStyle w:val="TextBody"/>
        <w:bidi w:val="0"/>
        <w:spacing w:lineRule="auto" w:line="288" w:before="0" w:after="0"/>
        <w:jc w:val="both"/>
        <w:rPr/>
      </w:pPr>
      <w:r>
        <w:rPr>
          <w:rFonts w:ascii="Times New Roman;serif" w:hAnsi="Times New Roman;serif"/>
          <w:b w:val="false"/>
          <w:color w:val="000000"/>
          <w:sz w:val="22"/>
        </w:rPr>
        <w:t xml:space="preserve">Address for Notifications </w:t>
      </w:r>
      <w:r>
        <w:rPr>
          <w:color w:val="000000"/>
          <w:u w:val="single"/>
        </w:rPr>
        <w:t xml:space="preserve">     </w:t>
      </w:r>
    </w:p>
    <w:p>
      <w:pPr>
        <w:pStyle w:val="TextBody"/>
        <w:bidi w:val="0"/>
        <w:spacing w:before="0" w:after="0"/>
        <w:jc w:val="both"/>
        <w:rPr/>
      </w:pPr>
      <w:r>
        <w:rPr/>
      </w:r>
    </w:p>
    <w:p>
      <w:pPr>
        <w:pStyle w:val="TextBody"/>
        <w:bidi w:val="0"/>
        <w:spacing w:before="0" w:after="0"/>
        <w:jc w:val="both"/>
        <w:rPr/>
      </w:pPr>
      <w:r>
        <w:rPr/>
      </w:r>
    </w:p>
    <w:p>
      <w:pPr>
        <w:pStyle w:val="TextBody"/>
        <w:bidi w:val="0"/>
        <w:spacing w:before="111"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6480175" cy="175260"/>
                <wp:effectExtent l="0" t="0" r="0" b="0"/>
                <wp:wrapNone/>
                <wp:docPr id="243" name="Frame2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32" w:after="283"/>
        <w:jc w:val="left"/>
        <w:rPr/>
      </w:pPr>
      <w:r>
        <w:rPr/>
      </w:r>
    </w:p>
    <w:p>
      <w:pPr>
        <w:pStyle w:val="TextBody"/>
        <w:bidi w:val="0"/>
        <w:spacing w:lineRule="auto" w:line="288" w:before="0" w:after="0"/>
        <w:jc w:val="center"/>
        <w:rPr>
          <w:rFonts w:ascii="Times New Roman;serif" w:hAnsi="Times New Roman;serif"/>
          <w:b/>
          <w:color w:val="000000"/>
          <w:sz w:val="22"/>
          <w:u w:val="single"/>
        </w:rPr>
      </w:pPr>
      <w:r>
        <w:rPr>
          <w:rFonts w:ascii="Times New Roman;serif" w:hAnsi="Times New Roman;serif"/>
          <w:b/>
          <w:color w:val="000000"/>
          <w:sz w:val="22"/>
          <w:u w:val="single"/>
        </w:rPr>
        <w:t>EXHIBIT C</w:t>
      </w:r>
    </w:p>
    <w:p>
      <w:pPr>
        <w:pStyle w:val="TextBody"/>
        <w:bidi w:val="0"/>
        <w:spacing w:before="114" w:after="283"/>
        <w:jc w:val="left"/>
        <w:rPr/>
      </w:pPr>
      <w:r>
        <w:rPr/>
      </w:r>
    </w:p>
    <w:p>
      <w:pPr>
        <w:pStyle w:val="TextBody"/>
        <w:bidi w:val="0"/>
        <w:spacing w:lineRule="atLeast" w:line="253" w:before="0" w:after="0"/>
        <w:jc w:val="center"/>
        <w:rPr>
          <w:rFonts w:ascii="Times New Roman;serif" w:hAnsi="Times New Roman;serif"/>
          <w:b/>
          <w:color w:val="000000"/>
          <w:sz w:val="22"/>
        </w:rPr>
      </w:pPr>
      <w:r>
        <w:rPr>
          <w:rFonts w:ascii="Times New Roman;serif" w:hAnsi="Times New Roman;serif"/>
          <w:b/>
          <w:color w:val="000000"/>
          <w:sz w:val="22"/>
        </w:rPr>
        <w:t>CONFLICT OF INTEREST GUIDELINES</w:t>
      </w:r>
    </w:p>
    <w:p>
      <w:pPr>
        <w:pStyle w:val="TextBody"/>
        <w:bidi w:val="0"/>
        <w:spacing w:lineRule="auto" w:line="288" w:before="0" w:after="0"/>
        <w:ind w:left="0" w:right="0" w:firstLine="720"/>
        <w:jc w:val="both"/>
        <w:rPr/>
      </w:pPr>
      <w:r>
        <w:rPr>
          <w:rFonts w:ascii="sans-serif" w:hAnsi="sans-serif"/>
          <w:b w:val="false"/>
          <w:color w:val="000000"/>
          <w:sz w:val="22"/>
        </w:rPr>
        <w:t>It is the policy of FT Intermediate, Inc. (the “</w:t>
      </w:r>
      <w:r>
        <w:rPr>
          <w:rFonts w:ascii="sans-serif" w:hAnsi="sans-serif"/>
          <w:b/>
          <w:color w:val="000000"/>
          <w:sz w:val="22"/>
        </w:rPr>
        <w:t>Company</w:t>
      </w:r>
      <w:r>
        <w:rPr>
          <w:color w:val="000000"/>
        </w:rPr>
        <w:t>”</w:t>
      </w:r>
      <w:r>
        <w:rPr>
          <w:rFonts w:ascii="sans-serif" w:hAnsi="sans-serif"/>
          <w:b w:val="false"/>
          <w:color w:val="000000"/>
          <w:sz w:val="22"/>
        </w:rPr>
        <w:t>) to conduct its affairs in strict compliance with the letter and spirit of the law and to adhere to the highest principles of business ethics. Accordingly, all officers, employees, and independent contractors must avoid activities that are in conflict, or give the appearance of being in conflict, with these principles and with the interests of the Company. The following are potentially compromising situations that must be avoided:</w:t>
      </w:r>
    </w:p>
    <w:p>
      <w:pPr>
        <w:pStyle w:val="TextBody"/>
        <w:bidi w:val="0"/>
        <w:spacing w:lineRule="auto" w:line="288" w:before="121" w:after="283"/>
        <w:ind w:left="0" w:right="0" w:firstLine="720"/>
        <w:jc w:val="both"/>
        <w:rPr>
          <w:rFonts w:ascii="sans-serif" w:hAnsi="sans-serif"/>
          <w:b w:val="false"/>
          <w:color w:val="000000"/>
          <w:sz w:val="22"/>
        </w:rPr>
      </w:pPr>
      <w:r>
        <w:rPr>
          <w:rFonts w:ascii="sans-serif" w:hAnsi="sans-serif"/>
          <w:b w:val="false"/>
          <w:color w:val="000000"/>
          <w:sz w:val="22"/>
        </w:rPr>
        <w:t>1.Revealing confidential information to outsiders or misusing confidential information. Unauthorized divulging of information is a violation of this policy whether or not for personal gain and whether or not harm to the Company is intended. (The At-Will Employment, Confidential Information, Invention Assignment, and Arbitration Agreement elaborates on this principle and is a binding agreement.)</w:t>
      </w:r>
    </w:p>
    <w:p>
      <w:pPr>
        <w:pStyle w:val="TextBody"/>
        <w:bidi w:val="0"/>
        <w:spacing w:lineRule="auto" w:line="288" w:before="118" w:after="283"/>
        <w:ind w:left="0" w:right="0" w:firstLine="720"/>
        <w:jc w:val="both"/>
        <w:rPr>
          <w:rFonts w:ascii="sans-serif" w:hAnsi="sans-serif"/>
          <w:b w:val="false"/>
          <w:color w:val="000000"/>
          <w:sz w:val="22"/>
        </w:rPr>
      </w:pPr>
      <w:r>
        <w:rPr>
          <w:rFonts w:ascii="sans-serif" w:hAnsi="sans-serif"/>
          <w:b w:val="false"/>
          <w:color w:val="000000"/>
          <w:sz w:val="22"/>
        </w:rPr>
        <w:t>2.Accepting or offering substantial gifts, excessive entertainment, favors, or payments that may be deemed to constitute undue influence or otherwise be improper or embarrassing to the Company.</w:t>
      </w:r>
    </w:p>
    <w:p>
      <w:pPr>
        <w:pStyle w:val="TextBody"/>
        <w:bidi w:val="0"/>
        <w:spacing w:lineRule="auto" w:line="288" w:before="122" w:after="283"/>
        <w:ind w:left="0" w:right="0" w:firstLine="720"/>
        <w:jc w:val="both"/>
        <w:rPr>
          <w:rFonts w:ascii="sans-serif" w:hAnsi="sans-serif"/>
          <w:b w:val="false"/>
          <w:color w:val="000000"/>
          <w:sz w:val="22"/>
        </w:rPr>
      </w:pPr>
      <w:r>
        <w:rPr>
          <w:rFonts w:ascii="sans-serif" w:hAnsi="sans-serif"/>
          <w:b w:val="false"/>
          <w:color w:val="000000"/>
          <w:sz w:val="22"/>
        </w:rPr>
        <w:t>3.Participating in civic or professional organizations that might involve divulging confidential information of the Company.</w:t>
      </w:r>
    </w:p>
    <w:p>
      <w:pPr>
        <w:pStyle w:val="TextBody"/>
        <w:bidi w:val="0"/>
        <w:spacing w:lineRule="auto" w:line="288" w:before="120" w:after="283"/>
        <w:ind w:left="0" w:right="0" w:firstLine="720"/>
        <w:jc w:val="both"/>
        <w:rPr>
          <w:rFonts w:ascii="sans-serif" w:hAnsi="sans-serif"/>
          <w:b w:val="false"/>
          <w:color w:val="000000"/>
          <w:sz w:val="22"/>
        </w:rPr>
      </w:pPr>
      <w:r>
        <w:rPr>
          <w:rFonts w:ascii="sans-serif" w:hAnsi="sans-serif"/>
          <w:b w:val="false"/>
          <w:color w:val="000000"/>
          <w:sz w:val="22"/>
        </w:rPr>
        <w:t>4.Initiating or approving personnel actions affecting reward or punishment of employees or applicants where there is a family relationship or is or appears to be a personal or social involvement.</w:t>
      </w:r>
    </w:p>
    <w:p>
      <w:pPr>
        <w:pStyle w:val="TextBody"/>
        <w:bidi w:val="0"/>
        <w:spacing w:lineRule="auto" w:line="288" w:before="121" w:after="283"/>
        <w:ind w:left="0" w:right="0" w:hanging="720"/>
        <w:jc w:val="both"/>
        <w:rPr>
          <w:rFonts w:ascii="sans-serif" w:hAnsi="sans-serif"/>
          <w:b w:val="false"/>
          <w:color w:val="000000"/>
          <w:sz w:val="22"/>
        </w:rPr>
      </w:pPr>
      <w:r>
        <w:rPr>
          <w:rFonts w:ascii="sans-serif" w:hAnsi="sans-serif"/>
          <w:b w:val="false"/>
          <w:color w:val="000000"/>
          <w:sz w:val="22"/>
        </w:rPr>
        <w:t>5.Initiating or approving any form of personal or social harassment of employees.</w:t>
      </w:r>
    </w:p>
    <w:p>
      <w:pPr>
        <w:pStyle w:val="TextBody"/>
        <w:bidi w:val="0"/>
        <w:spacing w:lineRule="auto" w:line="288" w:before="120" w:after="283"/>
        <w:ind w:left="0" w:right="0" w:firstLine="720"/>
        <w:jc w:val="both"/>
        <w:rPr>
          <w:rFonts w:ascii="sans-serif" w:hAnsi="sans-serif"/>
          <w:b w:val="false"/>
          <w:color w:val="000000"/>
          <w:sz w:val="22"/>
        </w:rPr>
      </w:pPr>
      <w:r>
        <w:rPr>
          <w:rFonts w:ascii="sans-serif" w:hAnsi="sans-serif"/>
          <w:b w:val="false"/>
          <w:color w:val="000000"/>
          <w:sz w:val="22"/>
        </w:rPr>
        <w:t>6.Investing or holding outside directorship in suppliers, customers, or competing companies, including financial speculations, where such investment or directorship might influence in any manner a decision or course of action of the Company.</w:t>
      </w:r>
    </w:p>
    <w:p>
      <w:pPr>
        <w:pStyle w:val="TextBody"/>
        <w:bidi w:val="0"/>
        <w:spacing w:lineRule="auto" w:line="288" w:before="118" w:after="283"/>
        <w:ind w:left="0" w:right="0" w:hanging="720"/>
        <w:jc w:val="both"/>
        <w:rPr>
          <w:rFonts w:ascii="sans-serif" w:hAnsi="sans-serif"/>
          <w:b w:val="false"/>
          <w:color w:val="000000"/>
          <w:sz w:val="22"/>
        </w:rPr>
      </w:pPr>
      <w:r>
        <w:rPr>
          <w:rFonts w:ascii="sans-serif" w:hAnsi="sans-serif"/>
          <w:b w:val="false"/>
          <w:color w:val="000000"/>
          <w:sz w:val="22"/>
        </w:rPr>
        <w:t>7.Borrowing from or lending to employees, customers, or suppliers.</w:t>
      </w:r>
    </w:p>
    <w:p>
      <w:pPr>
        <w:pStyle w:val="TextBody"/>
        <w:bidi w:val="0"/>
        <w:spacing w:lineRule="auto" w:line="288" w:before="121" w:after="283"/>
        <w:ind w:left="0" w:right="0" w:hanging="720"/>
        <w:jc w:val="both"/>
        <w:rPr>
          <w:rFonts w:ascii="sans-serif" w:hAnsi="sans-serif"/>
          <w:b w:val="false"/>
          <w:color w:val="000000"/>
          <w:sz w:val="22"/>
        </w:rPr>
      </w:pPr>
      <w:r>
        <w:rPr>
          <w:rFonts w:ascii="sans-serif" w:hAnsi="sans-serif"/>
          <w:b w:val="false"/>
          <w:color w:val="000000"/>
          <w:sz w:val="22"/>
        </w:rPr>
        <w:t>8.Acquiring real estate of interest to the Company.</w:t>
      </w:r>
    </w:p>
    <w:p>
      <w:pPr>
        <w:pStyle w:val="TextBody"/>
        <w:bidi w:val="0"/>
        <w:spacing w:lineRule="auto" w:line="288" w:before="120" w:after="283"/>
        <w:ind w:left="0" w:right="0" w:firstLine="720"/>
        <w:jc w:val="both"/>
        <w:rPr>
          <w:rFonts w:ascii="sans-serif" w:hAnsi="sans-serif"/>
          <w:b w:val="false"/>
          <w:color w:val="000000"/>
          <w:sz w:val="22"/>
        </w:rPr>
      </w:pPr>
      <w:r>
        <w:rPr>
          <w:rFonts w:ascii="sans-serif" w:hAnsi="sans-serif"/>
          <w:b w:val="false"/>
          <w:color w:val="000000"/>
          <w:sz w:val="22"/>
        </w:rPr>
        <w:t>9.Improperly using or disclosing to the Company any proprietary information or trade secrets of any other employer or other person or entity with whom obligations of confidentiality exist.</w:t>
      </w:r>
    </w:p>
    <w:p>
      <w:pPr>
        <w:pStyle w:val="TextBody"/>
        <w:bidi w:val="0"/>
        <w:spacing w:lineRule="auto" w:line="288" w:before="120" w:after="283"/>
        <w:ind w:left="0" w:right="0" w:firstLine="720"/>
        <w:jc w:val="both"/>
        <w:rPr>
          <w:rFonts w:ascii="sans-serif" w:hAnsi="sans-serif"/>
          <w:b w:val="false"/>
          <w:color w:val="000000"/>
          <w:sz w:val="22"/>
        </w:rPr>
      </w:pPr>
      <w:r>
        <w:rPr>
          <w:rFonts w:ascii="sans-serif" w:hAnsi="sans-serif"/>
          <w:b w:val="false"/>
          <w:color w:val="000000"/>
          <w:sz w:val="22"/>
        </w:rPr>
        <w:t>10.Unlawfully discussing prices, costs, customers, sales, or markets with competing companies or their employees.</w:t>
      </w:r>
    </w:p>
    <w:p>
      <w:pPr>
        <w:pStyle w:val="TextBody"/>
        <w:bidi w:val="0"/>
        <w:spacing w:lineRule="auto" w:line="288" w:before="121" w:after="283"/>
        <w:ind w:left="0" w:right="0" w:hanging="718"/>
        <w:jc w:val="both"/>
        <w:rPr>
          <w:rFonts w:ascii="sans-serif" w:hAnsi="sans-serif"/>
          <w:b w:val="false"/>
          <w:color w:val="000000"/>
          <w:sz w:val="22"/>
        </w:rPr>
      </w:pPr>
      <w:r>
        <w:rPr>
          <w:rFonts w:ascii="sans-serif" w:hAnsi="sans-serif"/>
          <w:b w:val="false"/>
          <w:color w:val="000000"/>
          <w:sz w:val="22"/>
        </w:rPr>
        <w:t>11.Making any unlawful agreement with distributors with respect to prices.</w:t>
      </w:r>
    </w:p>
    <w:p>
      <w:pPr>
        <w:pStyle w:val="TextBody"/>
        <w:bidi w:val="0"/>
        <w:spacing w:lineRule="auto" w:line="288" w:before="120" w:after="283"/>
        <w:ind w:left="0" w:right="0" w:firstLine="720"/>
        <w:jc w:val="both"/>
        <w:rPr>
          <w:rFonts w:ascii="sans-serif" w:hAnsi="sans-serif"/>
          <w:b w:val="false"/>
          <w:color w:val="000000"/>
          <w:sz w:val="22"/>
        </w:rPr>
      </w:pPr>
      <w:r>
        <w:rPr>
          <w:rFonts w:ascii="sans-serif" w:hAnsi="sans-serif"/>
          <w:b w:val="false"/>
          <w:color w:val="000000"/>
          <w:sz w:val="22"/>
        </w:rPr>
        <w:t>12.Improperly using or authorizing the use of any inventions that are the subject of patent claims of any other person or entity.</w:t>
      </w:r>
    </w:p>
    <w:p>
      <w:pPr>
        <w:pStyle w:val="TextBody"/>
        <w:bidi w:val="0"/>
        <w:spacing w:lineRule="atLeast" w:line="267" w:before="121" w:after="283"/>
        <w:ind w:left="0" w:right="0" w:hanging="718"/>
        <w:jc w:val="both"/>
        <w:rPr>
          <w:rFonts w:ascii="sans-serif" w:hAnsi="sans-serif"/>
          <w:b w:val="false"/>
          <w:color w:val="000000"/>
          <w:sz w:val="22"/>
        </w:rPr>
      </w:pPr>
      <w:r>
        <w:rPr>
          <w:rFonts w:ascii="sans-serif" w:hAnsi="sans-serif"/>
          <w:b w:val="false"/>
          <w:color w:val="000000"/>
          <w:sz w:val="22"/>
        </w:rPr>
        <w:t>13.Engaging in any conduct that is not in the best interest of the Company.</w:t>
      </w:r>
    </w:p>
    <w:p>
      <w:pPr>
        <w:pStyle w:val="TextBody"/>
        <w:bidi w:val="0"/>
        <w:spacing w:lineRule="auto" w:line="288" w:before="0" w:after="0"/>
        <w:ind w:left="0" w:right="0" w:firstLine="720"/>
        <w:jc w:val="both"/>
        <w:rPr>
          <w:rFonts w:ascii="sans-serif" w:hAnsi="sans-serif"/>
          <w:b w:val="false"/>
          <w:color w:val="000000"/>
          <w:sz w:val="22"/>
        </w:rPr>
      </w:pPr>
      <w:r>
        <w:rPr>
          <w:rFonts w:ascii="sans-serif" w:hAnsi="sans-serif"/>
          <w:b w:val="false"/>
          <w:color w:val="000000"/>
          <w:sz w:val="22"/>
        </w:rPr>
        <w:t>Each officer, employee, and independent contractor must take every necessary action to ensure compliance with these guidelines and to bring problem areas to the attention of higher management for review. Violations of this conflict of interest policy may result in discharge without warning.</w:t>
      </w:r>
    </w:p>
    <w:p>
      <w:pPr>
        <w:pStyle w:val="TextBody"/>
        <w:bidi w:val="0"/>
        <w:spacing w:lineRule="auto" w:line="288" w:before="0" w:after="0"/>
        <w:ind w:left="0" w:right="0" w:firstLine="720"/>
        <w:jc w:val="both"/>
        <w:rPr>
          <w:rFonts w:ascii="sans-serif" w:hAnsi="sans-serif"/>
          <w:b w:val="false"/>
          <w:color w:val="000000"/>
          <w:sz w:val="22"/>
        </w:rPr>
      </w:pPr>
      <w:r>
        <w:rPr>
          <w:rFonts w:ascii="sans-serif" w:hAnsi="sans-serif"/>
          <w:b w:val="false"/>
          <w:color w:val="000000"/>
          <w:sz w:val="22"/>
        </w:rPr>
        <w:t xml:space="preserve">Nothing in these guidelines is intended to limit employees’ rights to discuss the terms, wages, and working conditions of their employment, as protected by applicable law, including any rights an employee may have under Section 7 of the National Labor Relations Act. Also, nothing in these guidelines limits or prohibits employees from filing a charge or complaint with, or otherwise communicating or cooperating with or participating in any investigation or proceeding that may be conducted by, any federal, state or local government agency or commission, including the Securities and Exchange Commission, the Equal Employment Opportunity Commission, the Occupational Safety and Health Administration, and the National Labor Relations Board (“Government Agencies”), including disclosing documents or other information as permitted by law, without giving notice to, or receiving authorization from, the Company. Notwithstanding, in making any such disclosures or communications, employees must take all reasonable precautions to prevent any unauthorized use or disclosure of any information that may constitute Company Confidential Information to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6480175" cy="628650"/>
                <wp:effectExtent l="0" t="0" r="0" b="0"/>
                <wp:wrapNone/>
                <wp:docPr id="244" name="Frame242"/>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sans-serif" w:hAnsi="sans-serif"/>
          <w:b w:val="false"/>
          <w:color w:val="000000"/>
          <w:sz w:val="22"/>
        </w:rPr>
      </w:pPr>
      <w:r>
        <w:rPr>
          <w:rFonts w:ascii="sans-serif" w:hAnsi="sans-serif"/>
          <w:b w:val="false"/>
          <w:color w:val="000000"/>
          <w:sz w:val="22"/>
        </w:rPr>
        <w:t>any parties other than the Government Agencies. Employees may not disclose the Company’s attorney-client privileged communications or attorney work product.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6480175" cy="628650"/>
                <wp:effectExtent l="0" t="0" r="0" b="0"/>
                <wp:wrapNone/>
                <wp:docPr id="245" name="Frame243"/>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46" w:after="283"/>
        <w:jc w:val="left"/>
        <w:rPr/>
      </w:pPr>
      <w:r>
        <w:rPr/>
      </w:r>
    </w:p>
    <w:p>
      <w:pPr>
        <w:pStyle w:val="TextBody"/>
        <w:bidi w:val="0"/>
        <w:spacing w:lineRule="auto" w:line="288" w:before="0" w:after="0"/>
        <w:jc w:val="center"/>
        <w:rPr>
          <w:rFonts w:ascii="sans-serif" w:hAnsi="sans-serif"/>
          <w:b/>
          <w:color w:val="000000"/>
          <w:sz w:val="22"/>
          <w:u w:val="single"/>
        </w:rPr>
      </w:pPr>
      <w:r>
        <w:rPr>
          <w:rFonts w:ascii="sans-serif" w:hAnsi="sans-serif"/>
          <w:b/>
          <w:color w:val="000000"/>
          <w:sz w:val="22"/>
          <w:u w:val="single"/>
        </w:rPr>
        <w:t>EXHIBIT D</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i/>
          <w:color w:val="000000"/>
          <w:sz w:val="22"/>
        </w:rPr>
      </w:pPr>
      <w:r>
        <w:rPr>
          <w:rFonts w:ascii="Times New Roman;serif" w:hAnsi="Times New Roman;serif"/>
          <w:b/>
          <w:i/>
          <w:color w:val="000000"/>
          <w:sz w:val="22"/>
        </w:rPr>
        <w:t>SECTION 7 OF THE DEFEND TRADE SECRETS ACT OF 2016</w:t>
      </w:r>
    </w:p>
    <w:p>
      <w:pPr>
        <w:pStyle w:val="TextBody"/>
        <w:bidi w:val="0"/>
        <w:spacing w:before="63" w:after="283"/>
        <w:jc w:val="left"/>
        <w:rPr/>
      </w:pPr>
      <w:r>
        <w:rPr/>
      </w:r>
    </w:p>
    <w:p>
      <w:pPr>
        <w:pStyle w:val="TextBody"/>
        <w:bidi w:val="0"/>
        <w:spacing w:lineRule="auto" w:line="350" w:before="0" w:after="0"/>
        <w:ind w:left="0" w:right="0" w:firstLine="720"/>
        <w:jc w:val="left"/>
        <w:rPr>
          <w:color w:val="000000"/>
        </w:rPr>
      </w:pPr>
      <w:r>
        <w:rPr>
          <w:color w:val="000000"/>
        </w:rPr>
        <w:t>“</w:t>
      </w:r>
      <w:r>
        <w:rPr>
          <w:rFonts w:ascii="Times New Roman;serif" w:hAnsi="Times New Roman;serif"/>
          <w:b w:val="false"/>
          <w:color w:val="000000"/>
          <w:sz w:val="22"/>
        </w:rPr>
        <w:t>Immunity From Liability For Confidential Disclosure Of A Trade Secret To The Government Or In A Court Filing—</w:t>
      </w:r>
    </w:p>
    <w:p>
      <w:pPr>
        <w:pStyle w:val="TextBody"/>
        <w:bidi w:val="0"/>
        <w:spacing w:before="154" w:after="283"/>
        <w:jc w:val="left"/>
        <w:rPr/>
      </w:pPr>
      <w:r>
        <w:rPr/>
      </w:r>
    </w:p>
    <w:p>
      <w:pPr>
        <w:pStyle w:val="TextBody"/>
        <w:bidi w:val="0"/>
        <w:spacing w:lineRule="auto" w:line="352"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(1)IMMUNITY.—An individual shall not be held criminally or civilly liable under any Federal or State trade secret law for the disclosure of a trade secret that—(A) is made—(i)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w:t>
      </w:r>
    </w:p>
    <w:p>
      <w:pPr>
        <w:pStyle w:val="TextBody"/>
        <w:bidi w:val="0"/>
        <w:spacing w:before="102" w:after="283"/>
        <w:jc w:val="left"/>
        <w:rPr/>
      </w:pPr>
      <w:r>
        <w:rPr/>
      </w:r>
    </w:p>
    <w:p>
      <w:pPr>
        <w:pStyle w:val="TextBody"/>
        <w:bidi w:val="0"/>
        <w:spacing w:lineRule="auto" w:line="288" w:before="0" w:after="0"/>
        <w:ind w:left="0" w:right="0" w:hanging="313"/>
        <w:jc w:val="left"/>
        <w:rPr>
          <w:rFonts w:ascii="Times New Roman;serif" w:hAnsi="Times New Roman;serif"/>
          <w:b w:val="false"/>
          <w:color w:val="000000"/>
          <w:sz w:val="22"/>
        </w:rPr>
      </w:pPr>
      <w:r>
        <w:rPr>
          <w:rFonts w:ascii="Times New Roman;serif" w:hAnsi="Times New Roman;serif"/>
          <w:b w:val="false"/>
          <w:color w:val="000000"/>
          <w:sz w:val="22"/>
        </w:rPr>
        <w:t>(2)USE OF TRADE SECRET INFORMATION IN ANTI-RETALIATION LAWSUIT.—An individual who files</w:t>
      </w:r>
    </w:p>
    <w:p>
      <w:pPr>
        <w:pStyle w:val="TextBody"/>
        <w:bidi w:val="0"/>
        <w:spacing w:lineRule="auto" w:line="352" w:before="66" w:after="283"/>
        <w:jc w:val="both"/>
        <w:rPr>
          <w:rFonts w:ascii="Times New Roman;serif" w:hAnsi="Times New Roman;serif"/>
          <w:b w:val="false"/>
          <w:color w:val="000000"/>
          <w:sz w:val="22"/>
        </w:rPr>
      </w:pPr>
      <w:r>
        <w:rPr>
          <w:rFonts w:ascii="Times New Roman;serif" w:hAnsi="Times New Roman;serif"/>
          <w:b w:val="false"/>
          <w:color w:val="000000"/>
          <w:sz w:val="22"/>
        </w:rPr>
        <w:t>a lawsuit for retaliation by an employer for reporting a suspected violation of law may disclose the trade secret to the attorney of the individual and use the trade secret information in the court proceeding, if the individual—(A) files any document containing the trade secret under seal; and (B) does not disclose the trade secret, except pursuant to court order.”</w:t>
      </w:r>
    </w:p>
    <w:p>
      <w:pPr>
        <w:pStyle w:val="TextBody"/>
        <w:bidi w:val="0"/>
        <w:spacing w:before="0" w:after="0"/>
        <w:jc w:val="both"/>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7"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6480175" cy="628650"/>
                <wp:effectExtent l="0" t="0" r="0" b="0"/>
                <wp:wrapNone/>
                <wp:docPr id="246" name="Frame244"/>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sans-serif" w:hAnsi="sans-serif"/>
          <w:b/>
          <w:color w:val="000000"/>
          <w:sz w:val="22"/>
          <w:u w:val="single"/>
        </w:rPr>
      </w:pPr>
      <w:r>
        <w:rPr>
          <w:rFonts w:ascii="sans-serif" w:hAnsi="sans-serif"/>
          <w:b/>
          <w:color w:val="000000"/>
          <w:sz w:val="22"/>
          <w:u w:val="single"/>
        </w:rPr>
        <w:t>EXHIBIT E</w:t>
      </w:r>
    </w:p>
    <w:p>
      <w:pPr>
        <w:pStyle w:val="TextBody"/>
        <w:bidi w:val="0"/>
        <w:spacing w:lineRule="auto" w:line="288" w:before="1" w:after="283"/>
        <w:ind w:left="0" w:right="0" w:firstLine="719"/>
        <w:jc w:val="both"/>
        <w:rPr>
          <w:rFonts w:ascii="sans-serif" w:hAnsi="sans-serif"/>
          <w:b w:val="false"/>
          <w:i/>
          <w:color w:val="000000"/>
          <w:sz w:val="22"/>
        </w:rPr>
      </w:pPr>
      <w:r>
        <w:rPr>
          <w:rFonts w:ascii="sans-serif" w:hAnsi="sans-serif"/>
          <w:b w:val="false"/>
          <w:i/>
          <w:color w:val="000000"/>
          <w:sz w:val="22"/>
        </w:rPr>
        <w:t>If you (“Assignor”) are employed by the Company in Delaware, Illinois, Kansas, New Jersey, or North Carolina, then the following applies:</w:t>
      </w:r>
    </w:p>
    <w:p>
      <w:pPr>
        <w:pStyle w:val="TextBody"/>
        <w:bidi w:val="0"/>
        <w:spacing w:lineRule="auto" w:line="288" w:before="0" w:after="0"/>
        <w:ind w:left="0" w:right="0" w:firstLine="719"/>
        <w:jc w:val="both"/>
        <w:rPr>
          <w:rFonts w:ascii="sans-serif" w:hAnsi="sans-serif"/>
          <w:b w:val="false"/>
          <w:color w:val="000000"/>
          <w:sz w:val="22"/>
        </w:rPr>
      </w:pPr>
      <w:r>
        <w:rPr>
          <w:rFonts w:ascii="sans-serif" w:hAnsi="sans-serif"/>
          <w:b w:val="false"/>
          <w:color w:val="000000"/>
          <w:sz w:val="22"/>
        </w:rPr>
        <w:t>No provision in this Agreement requires Assignor to assign any of his or her rights to an invention for which no equipment, supplies, facility, or trade secret information of the Company was used and which was developed entirely on Assignor’s own time, unless (a) the invention relates (i) to the business of the Company or (ii) to the Company’s actual or demonstrably anticipated research or development, or (b) the invention results from any work performed by Assignor for the Company. Delaware Code Title 19 Section 805; Illinois 765 ILCS 1060/1-3, “Employees Patent Act”; Kansas Statutes Section 44-130; New Jersey Revised Statutes Section 34:1B-265; North Carolina General Statutes Article 10A, Chapter 66, Commerce and Business, Section 66-57.1.</w:t>
      </w:r>
    </w:p>
    <w:p>
      <w:pPr>
        <w:pStyle w:val="TextBody"/>
        <w:bidi w:val="0"/>
        <w:spacing w:lineRule="atLeast" w:line="268" w:before="0" w:after="0"/>
        <w:jc w:val="both"/>
        <w:rPr>
          <w:rFonts w:ascii="sans-serif" w:hAnsi="sans-serif"/>
          <w:b w:val="false"/>
          <w:i/>
          <w:color w:val="000000"/>
          <w:sz w:val="22"/>
        </w:rPr>
      </w:pPr>
      <w:r>
        <w:rPr>
          <w:rFonts w:ascii="sans-serif" w:hAnsi="sans-serif"/>
          <w:b w:val="false"/>
          <w:i/>
          <w:color w:val="000000"/>
          <w:sz w:val="22"/>
        </w:rPr>
        <w:t>If Assignor is employed by the Company in New York, then the following applies:</w:t>
      </w:r>
    </w:p>
    <w:p>
      <w:pPr>
        <w:pStyle w:val="TextBody"/>
        <w:bidi w:val="0"/>
        <w:spacing w:lineRule="auto" w:line="288" w:before="0" w:after="0"/>
        <w:ind w:left="0" w:right="0" w:firstLine="719"/>
        <w:jc w:val="both"/>
        <w:rPr>
          <w:rFonts w:ascii="sans-serif" w:hAnsi="sans-serif"/>
          <w:b w:val="false"/>
          <w:color w:val="000000"/>
          <w:sz w:val="22"/>
        </w:rPr>
      </w:pPr>
      <w:r>
        <w:rPr>
          <w:rFonts w:ascii="sans-serif" w:hAnsi="sans-serif"/>
          <w:b w:val="false"/>
          <w:color w:val="000000"/>
          <w:sz w:val="22"/>
        </w:rPr>
        <w:t>No provision in this Agreement requires Assignor to assign, or offer to assign, any of his or her rights in an invention that the Assignor developed entirely on his or her own time without using the Company’s equipment, supplies, facilities, or trade secret information except for those inventions that either: (a) relate at the time of conception or reduction to practice of the invention to the Company’s business, or actual or demonstrably anticipated research or development of the Company; or (b) result from any work performed by the Assignor for the Company. New York Labor Code Section 203-f.</w:t>
      </w:r>
    </w:p>
    <w:p>
      <w:pPr>
        <w:pStyle w:val="TextBody"/>
        <w:bidi w:val="0"/>
        <w:spacing w:lineRule="atLeast" w:line="268" w:before="0" w:after="0"/>
        <w:jc w:val="both"/>
        <w:rPr>
          <w:rFonts w:ascii="sans-serif" w:hAnsi="sans-serif"/>
          <w:b w:val="false"/>
          <w:i/>
          <w:color w:val="000000"/>
          <w:sz w:val="22"/>
        </w:rPr>
      </w:pPr>
      <w:r>
        <w:rPr>
          <w:rFonts w:ascii="sans-serif" w:hAnsi="sans-serif"/>
          <w:b w:val="false"/>
          <w:i/>
          <w:color w:val="000000"/>
          <w:sz w:val="22"/>
        </w:rPr>
        <w:t>If Assignor is employed by the Company in Minnesota, then the following applies:</w:t>
      </w:r>
    </w:p>
    <w:p>
      <w:pPr>
        <w:pStyle w:val="TextBody"/>
        <w:bidi w:val="0"/>
        <w:spacing w:lineRule="auto" w:line="288" w:before="1" w:after="283"/>
        <w:ind w:left="0" w:right="0" w:firstLine="719"/>
        <w:jc w:val="both"/>
        <w:rPr>
          <w:rFonts w:ascii="sans-serif" w:hAnsi="sans-serif"/>
          <w:b w:val="false"/>
          <w:color w:val="000000"/>
          <w:sz w:val="22"/>
        </w:rPr>
      </w:pPr>
      <w:r>
        <w:rPr>
          <w:rFonts w:ascii="sans-serif" w:hAnsi="sans-serif"/>
          <w:b w:val="false"/>
          <w:color w:val="000000"/>
          <w:sz w:val="22"/>
        </w:rPr>
        <w:t>No provision in this Agreement requires Assignor to assign any of his or her rights to an invention for which no equipment, supplies, facility, or trade secret information of the Company was used and which was developed entirely on Assignor’s own time, and (a) which does not relate (i) directly to the business of the Company, or (ii) to the Company’s actual or demonstrably anticipated research or development, or</w:t>
      </w:r>
    </w:p>
    <w:p>
      <w:pPr>
        <w:pStyle w:val="TextBody"/>
        <w:bidi w:val="0"/>
        <w:spacing w:lineRule="auto" w:line="276" w:before="3" w:after="283"/>
        <w:jc w:val="both"/>
        <w:rPr>
          <w:rFonts w:ascii="sans-serif" w:hAnsi="sans-serif"/>
          <w:b w:val="false"/>
          <w:color w:val="000000"/>
          <w:sz w:val="22"/>
        </w:rPr>
      </w:pPr>
      <w:r>
        <w:rPr>
          <w:rFonts w:ascii="sans-serif" w:hAnsi="sans-serif"/>
          <w:b w:val="false"/>
          <w:color w:val="000000"/>
          <w:sz w:val="22"/>
        </w:rPr>
        <w:t>(b) does not result from any work performed by Assignor for the Company. Minnesota Statutes 13A Section 181.78.</w:t>
      </w:r>
    </w:p>
    <w:p>
      <w:pPr>
        <w:pStyle w:val="TextBody"/>
        <w:bidi w:val="0"/>
        <w:spacing w:lineRule="auto" w:line="288" w:before="1" w:after="283"/>
        <w:jc w:val="both"/>
        <w:rPr>
          <w:rFonts w:ascii="sans-serif" w:hAnsi="sans-serif"/>
          <w:b w:val="false"/>
          <w:i/>
          <w:color w:val="000000"/>
          <w:sz w:val="22"/>
        </w:rPr>
      </w:pPr>
      <w:r>
        <w:rPr>
          <w:rFonts w:ascii="sans-serif" w:hAnsi="sans-serif"/>
          <w:b w:val="false"/>
          <w:i/>
          <w:color w:val="000000"/>
          <w:sz w:val="22"/>
        </w:rPr>
        <w:t>If Assignor is employed by the Company in Utah, then the following applies:</w:t>
      </w:r>
    </w:p>
    <w:p>
      <w:pPr>
        <w:pStyle w:val="TextBody"/>
        <w:bidi w:val="0"/>
        <w:spacing w:lineRule="auto" w:line="288" w:before="1" w:after="283"/>
        <w:ind w:left="0" w:right="0" w:firstLine="719"/>
        <w:jc w:val="both"/>
        <w:rPr>
          <w:rFonts w:ascii="sans-serif" w:hAnsi="sans-serif"/>
          <w:b w:val="false"/>
          <w:color w:val="000000"/>
          <w:sz w:val="22"/>
        </w:rPr>
      </w:pPr>
      <w:r>
        <w:rPr>
          <w:rFonts w:ascii="sans-serif" w:hAnsi="sans-serif"/>
          <w:b w:val="false"/>
          <w:color w:val="000000"/>
          <w:sz w:val="22"/>
        </w:rPr>
        <w:t>No provision in this Agreement requires Assignor to assign any of his or her rights to an invention which was created entirely on Assignor’s own time, and which is not (a) conceived, developed, reduced to practice, or created by Assignor (i) within the scope of Assignor’s employment with the Company, (ii) on the Company’s time, or (iii) with the aid, assistance, or use of any of the Company’s property, equipment, facilities, supplies, resources, or patents, trade secrets, know-how, technology, confidential information, ideas, copy rights, trademarks and service marks and any and all rights, applications and registrations relating to them, (b) the result of any work, services, or duties performed by Assignor for the Company, (c) related to the industry or trade of the Company, or (d) related to the current or demonstrably anticipated business, research, or development of the Company. Utah Code Sections 34-39-1 through 34-39-3, “Employee Inventions Act.”</w:t>
      </w:r>
    </w:p>
    <w:p>
      <w:pPr>
        <w:pStyle w:val="TextBody"/>
        <w:bidi w:val="0"/>
        <w:spacing w:lineRule="auto" w:line="288" w:before="0" w:after="0"/>
        <w:jc w:val="both"/>
        <w:rPr>
          <w:rFonts w:ascii="sans-serif" w:hAnsi="sans-serif"/>
          <w:b w:val="false"/>
          <w:i/>
          <w:color w:val="000000"/>
          <w:sz w:val="22"/>
        </w:rPr>
      </w:pPr>
      <w:r>
        <w:rPr>
          <w:rFonts w:ascii="sans-serif" w:hAnsi="sans-serif"/>
          <w:b w:val="false"/>
          <w:i/>
          <w:color w:val="000000"/>
          <w:sz w:val="22"/>
        </w:rPr>
        <w:t>If Assignor is employed by the Company in Washington, then the following applies:</w:t>
      </w:r>
    </w:p>
    <w:p>
      <w:pPr>
        <w:pStyle w:val="TextBody"/>
        <w:bidi w:val="0"/>
        <w:spacing w:lineRule="auto" w:line="288" w:before="0" w:after="0"/>
        <w:ind w:left="0" w:right="0" w:firstLine="719"/>
        <w:jc w:val="both"/>
        <w:rPr>
          <w:rFonts w:ascii="sans-serif" w:hAnsi="sans-serif"/>
          <w:b w:val="false"/>
          <w:color w:val="000000"/>
          <w:sz w:val="22"/>
        </w:rPr>
      </w:pPr>
      <w:r>
        <w:rPr>
          <w:rFonts w:ascii="sans-serif" w:hAnsi="sans-serif"/>
          <w:b w:val="false"/>
          <w:color w:val="000000"/>
          <w:sz w:val="22"/>
        </w:rPr>
        <w:t>No provision in this Agreement requires Assignor to assign any of his or her rights to an invention for which no equipment, supplies, facilities, or trade secret information of the Company was used and which was developed entirely on Assignor’s own time, unless (a) the invention relates (i) directly to the business of the Company, or (ii) to the Company’s actual or demonstrably anticipated research or development, or (b) the invention results from any work performed by Assignor for the Company. Washington Rev. Code, Title 49 RCW: Labor Regulations Chapter 49.44.14.</w:t>
      </w:r>
    </w:p>
    <w:p>
      <w:pPr>
        <w:pStyle w:val="TextBody"/>
        <w:bidi w:val="0"/>
        <w:spacing w:before="0" w:after="0"/>
        <w:ind w:left="0" w:right="0" w:firstLine="720"/>
        <w:jc w:val="both"/>
        <w:rPr/>
      </w:pPr>
      <w:r>
        <w:rPr/>
      </w:r>
    </w:p>
    <w:tbl>
      <w:tblPr>
        <w:tblW w:w="5997" w:type="dxa"/>
        <w:jc w:val="left"/>
        <w:tblInd w:w="0" w:type="dxa"/>
        <w:tblLayout w:type="fixed"/>
        <w:tblCellMar>
          <w:top w:w="28" w:type="dxa"/>
          <w:left w:w="28" w:type="dxa"/>
          <w:bottom w:w="28" w:type="dxa"/>
          <w:right w:w="28" w:type="dxa"/>
        </w:tblCellMar>
      </w:tblPr>
      <w:tblGrid>
        <w:gridCol w:w="1688"/>
        <w:gridCol w:w="1486"/>
        <w:gridCol w:w="1491"/>
        <w:gridCol w:w="109"/>
        <w:gridCol w:w="109"/>
        <w:gridCol w:w="109"/>
        <w:gridCol w:w="294"/>
        <w:gridCol w:w="294"/>
        <w:gridCol w:w="417"/>
      </w:tblGrid>
      <w:tr>
        <w:trPr/>
        <w:tc>
          <w:tcPr>
            <w:tcW w:w="1688"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1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r>
      <w:tr>
        <w:trPr/>
        <w:tc>
          <w:tcPr>
            <w:tcW w:w="4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Laura Schmidt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11/1/2024</w:t>
            </w:r>
          </w:p>
        </w:tc>
      </w:tr>
      <w:tr>
        <w:trPr/>
        <w:tc>
          <w:tcPr>
            <w:tcW w:w="46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Laura Schmidt, Vice President of People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Minchung Kgil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11/1/2024</w:t>
            </w:r>
          </w:p>
        </w:tc>
      </w:tr>
      <w:tr>
        <w:trPr/>
        <w:tc>
          <w:tcPr>
            <w:tcW w:w="46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6480175" cy="628650"/>
                <wp:effectExtent l="0" t="0" r="0" b="0"/>
                <wp:wrapNone/>
                <wp:docPr id="247" name="Frame245"/>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89" w:after="283"/>
        <w:jc w:val="left"/>
        <w:rPr/>
      </w:pPr>
      <w:r>
        <w:rPr/>
      </w:r>
    </w:p>
    <w:p>
      <w:pPr>
        <w:pStyle w:val="TextBody"/>
        <w:bidi w:val="0"/>
        <w:spacing w:before="0" w:after="0"/>
        <w:jc w:val="left"/>
        <w:rPr/>
      </w:pPr>
      <w:r>
        <w:rPr/>
      </w:r>
    </w:p>
    <w:p>
      <w:pPr>
        <w:pStyle w:val="TextBody"/>
        <w:bidi w:val="0"/>
        <w:spacing w:lineRule="auto" w:line="288" w:before="169" w:after="283"/>
        <w:jc w:val="right"/>
        <w:rPr>
          <w:rFonts w:ascii="Times New Roman;serif" w:hAnsi="Times New Roman;serif"/>
          <w:b w:val="false"/>
          <w:color w:val="000000"/>
          <w:sz w:val="24"/>
        </w:rPr>
      </w:pPr>
      <w:r>
        <w:rPr>
          <w:rFonts w:ascii="Times New Roman;serif" w:hAnsi="Times New Roman;serif"/>
          <w:b w:val="false"/>
          <w:color w:val="000000"/>
          <w:sz w:val="24"/>
        </w:rPr>
        <w:t>FIGURE TECHNOLOGIES, INC.</w:t>
      </w:r>
    </w:p>
    <w:p>
      <w:pPr>
        <w:pStyle w:val="TextBody"/>
        <w:bidi w:val="0"/>
        <w:spacing w:lineRule="auto" w:line="288" w:before="0" w:after="0"/>
        <w:ind w:left="0" w:right="0" w:hanging="699"/>
        <w:jc w:val="right"/>
        <w:rPr>
          <w:rFonts w:ascii="Times New Roman;serif" w:hAnsi="Times New Roman;serif"/>
          <w:b w:val="false"/>
          <w:color w:val="000000"/>
          <w:sz w:val="24"/>
        </w:rPr>
      </w:pPr>
      <w:r>
        <w:rPr>
          <w:rFonts w:ascii="Times New Roman;serif" w:hAnsi="Times New Roman;serif"/>
          <w:b w:val="false"/>
          <w:color w:val="000000"/>
          <w:sz w:val="24"/>
        </w:rPr>
        <w:t>650 California Street, Suite 2700 San Francisco, CA 94108</w:t>
      </w:r>
    </w:p>
    <w:p>
      <w:pPr>
        <w:pStyle w:val="TextBody"/>
        <w:bidi w:val="0"/>
        <w:spacing w:before="0" w:after="0"/>
        <w:jc w:val="left"/>
        <w:rPr/>
      </w:pPr>
      <w:r>
        <w:rPr/>
      </w:r>
    </w:p>
    <w:p>
      <w:pPr>
        <w:pStyle w:val="TextBody"/>
        <w:bidi w:val="0"/>
        <w:spacing w:lineRule="auto" w:line="288" w:before="1" w:after="283"/>
        <w:jc w:val="left"/>
        <w:rPr>
          <w:rFonts w:ascii="Times New Roman;serif" w:hAnsi="Times New Roman;serif"/>
          <w:b w:val="false"/>
          <w:color w:val="212121"/>
          <w:sz w:val="24"/>
        </w:rPr>
      </w:pPr>
      <w:r>
        <w:rPr>
          <w:rFonts w:ascii="Times New Roman;serif" w:hAnsi="Times New Roman;serif"/>
          <w:b w:val="false"/>
          <w:color w:val="212121"/>
          <w:sz w:val="24"/>
        </w:rPr>
        <w:t>October 27, 2023 Todd Stevens</w:t>
      </w:r>
    </w:p>
    <w:p>
      <w:pPr>
        <w:pStyle w:val="TextBody"/>
        <w:bidi w:val="0"/>
        <w:spacing w:before="0" w:after="0"/>
        <w:jc w:val="left"/>
        <w:rPr/>
      </w:pPr>
      <w:r>
        <w:rPr/>
      </w:r>
    </w:p>
    <w:p>
      <w:pPr>
        <w:pStyle w:val="TextBody"/>
        <w:bidi w:val="0"/>
        <w:spacing w:lineRule="auto" w:line="288" w:before="274" w:after="283"/>
        <w:jc w:val="left"/>
        <w:rPr/>
      </w:pPr>
      <w:r>
        <w:rPr>
          <w:rFonts w:ascii="Times New Roman;serif" w:hAnsi="Times New Roman;serif"/>
          <w:b w:val="false"/>
          <w:color w:val="000000"/>
          <w:sz w:val="24"/>
        </w:rPr>
        <w:t xml:space="preserve">Dear </w:t>
      </w:r>
      <w:r>
        <w:rPr>
          <w:rFonts w:ascii="Times New Roman;serif" w:hAnsi="Times New Roman;serif"/>
          <w:b w:val="false"/>
          <w:color w:val="212121"/>
          <w:sz w:val="24"/>
        </w:rPr>
        <w:t>Todd</w:t>
      </w:r>
      <w:r>
        <w:rPr>
          <w:rFonts w:ascii="Times New Roman;serif" w:hAnsi="Times New Roman;serif"/>
          <w:b w:val="false"/>
          <w:color w:val="000000"/>
          <w:sz w:val="24"/>
        </w:rPr>
        <w: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Figure Technologies, Inc., a Delaware corporation (“Figure”), is pleased to offer you employment. This letter agreement (this “Agreement”) memorializes the terms of your employment and your compensation arrangement with Figure.</w:t>
      </w:r>
    </w:p>
    <w:p>
      <w:pPr>
        <w:pStyle w:val="TextBody"/>
        <w:bidi w:val="0"/>
        <w:spacing w:before="0" w:after="0"/>
        <w:jc w:val="left"/>
        <w:rPr/>
      </w:pPr>
      <w:r>
        <w:rPr/>
      </w:r>
    </w:p>
    <w:p>
      <w:pPr>
        <w:pStyle w:val="TextBody"/>
        <w:bidi w:val="0"/>
        <w:spacing w:lineRule="auto" w:line="288" w:before="0" w:after="0"/>
        <w:ind w:left="0" w:right="0" w:hanging="721"/>
        <w:jc w:val="left"/>
        <w:rPr/>
      </w:pPr>
      <w:r>
        <w:rPr>
          <w:rFonts w:ascii="Times New Roman;serif" w:hAnsi="Times New Roman;serif"/>
          <w:b w:val="false"/>
          <w:color w:val="000000"/>
          <w:sz w:val="24"/>
        </w:rPr>
        <w:t>1.</w:t>
      </w:r>
      <w:r>
        <w:rPr>
          <w:rFonts w:ascii="Times New Roman;serif" w:hAnsi="Times New Roman;serif"/>
          <w:b/>
          <w:color w:val="000000"/>
          <w:sz w:val="24"/>
          <w:u w:val="single"/>
        </w:rPr>
        <w:t>Effective Date</w:t>
      </w:r>
      <w:r>
        <w:rPr>
          <w:rFonts w:ascii="Times New Roman;serif" w:hAnsi="Times New Roman;serif"/>
          <w:b w:val="false"/>
          <w:color w:val="000000"/>
          <w:sz w:val="24"/>
        </w:rPr>
        <w:t xml:space="preserve">. The terms of this Agreement are effective as of your start date of </w:t>
      </w:r>
      <w:r>
        <w:rPr>
          <w:rFonts w:ascii="Times New Roman;serif" w:hAnsi="Times New Roman;serif"/>
          <w:b w:val="false"/>
          <w:color w:val="212121"/>
          <w:sz w:val="24"/>
        </w:rPr>
        <w:t xml:space="preserve">November 13, 2023 </w:t>
      </w:r>
      <w:r>
        <w:rPr>
          <w:rFonts w:ascii="Times New Roman;serif" w:hAnsi="Times New Roman;serif"/>
          <w:b w:val="false"/>
          <w:color w:val="000000"/>
          <w:sz w:val="24"/>
        </w:rPr>
        <w:t xml:space="preserve">or any later date that Figure may agree to pursuant to Section 12 below (the “Effective Date”) where you will be based </w:t>
      </w:r>
      <w:r>
        <w:rPr>
          <w:rFonts w:ascii="Times New Roman;serif" w:hAnsi="Times New Roman;serif"/>
          <w:b w:val="false"/>
          <w:color w:val="212121"/>
          <w:sz w:val="24"/>
        </w:rPr>
        <w:t xml:space="preserve">in office </w:t>
      </w:r>
      <w:r>
        <w:rPr>
          <w:rFonts w:ascii="Times New Roman;serif" w:hAnsi="Times New Roman;serif"/>
          <w:b w:val="false"/>
          <w:color w:val="000000"/>
          <w:sz w:val="24"/>
        </w:rPr>
        <w:t>in NY</w:t>
      </w:r>
      <w:r>
        <w:rPr>
          <w:rFonts w:ascii="Times New Roman;serif" w:hAnsi="Times New Roman;serif"/>
          <w:b w:val="false"/>
          <w:color w:val="212121"/>
          <w:sz w:val="24"/>
        </w:rPr>
        <w:t xml:space="preserve">. </w:t>
      </w:r>
      <w:r>
        <w:rPr>
          <w:rFonts w:ascii="Times New Roman;serif" w:hAnsi="Times New Roman;serif"/>
          <w:b w:val="false"/>
          <w:color w:val="000000"/>
          <w:sz w:val="24"/>
        </w:rPr>
        <w:t>By signing this letter, you confirm that you are under no contractual or other legal obligations that would prohibit you from performing your duties with Figure commencing on the Effective Date.</w:t>
      </w:r>
    </w:p>
    <w:p>
      <w:pPr>
        <w:pStyle w:val="TextBody"/>
        <w:bidi w:val="0"/>
        <w:spacing w:before="0" w:after="0"/>
        <w:jc w:val="left"/>
        <w:rPr/>
      </w:pPr>
      <w:r>
        <w:rPr/>
      </w:r>
    </w:p>
    <w:p>
      <w:pPr>
        <w:pStyle w:val="TextBody"/>
        <w:bidi w:val="0"/>
        <w:spacing w:lineRule="auto" w:line="288" w:before="0" w:after="0"/>
        <w:ind w:left="0" w:right="0" w:hanging="721"/>
        <w:jc w:val="left"/>
        <w:rPr/>
      </w:pPr>
      <w:r>
        <w:rPr>
          <w:rFonts w:ascii="Times New Roman;serif" w:hAnsi="Times New Roman;serif"/>
          <w:b w:val="false"/>
          <w:color w:val="000000"/>
          <w:sz w:val="24"/>
        </w:rPr>
        <w:t>2.</w:t>
      </w:r>
      <w:r>
        <w:rPr>
          <w:rFonts w:ascii="Times New Roman;serif" w:hAnsi="Times New Roman;serif"/>
          <w:b/>
          <w:color w:val="000000"/>
          <w:sz w:val="24"/>
          <w:u w:val="single"/>
        </w:rPr>
        <w:t>Job Title; Reporting</w:t>
      </w:r>
      <w:r>
        <w:rPr>
          <w:rFonts w:ascii="Times New Roman;serif" w:hAnsi="Times New Roman;serif"/>
          <w:b w:val="false"/>
          <w:color w:val="000000"/>
          <w:sz w:val="24"/>
        </w:rPr>
        <w:t xml:space="preserve">. Your title will be Head of Blockchain Capital Markets and you will report to </w:t>
      </w:r>
      <w:r>
        <w:rPr>
          <w:rFonts w:ascii="Times New Roman;serif" w:hAnsi="Times New Roman;serif"/>
          <w:b w:val="false"/>
          <w:color w:val="212121"/>
          <w:sz w:val="24"/>
        </w:rPr>
        <w:t>TJ Milani</w:t>
      </w:r>
      <w:r>
        <w:rPr>
          <w:rFonts w:ascii="Times New Roman;serif" w:hAnsi="Times New Roman;serif"/>
          <w:b w:val="false"/>
          <w:color w:val="000000"/>
          <w:sz w:val="24"/>
        </w:rPr>
        <w:t xml:space="preserve">, </w:t>
      </w:r>
      <w:r>
        <w:rPr>
          <w:rFonts w:ascii="Times New Roman;serif" w:hAnsi="Times New Roman;serif"/>
          <w:b w:val="false"/>
          <w:color w:val="212121"/>
          <w:sz w:val="24"/>
        </w:rPr>
        <w:t>Chief Operating Officer</w:t>
      </w:r>
      <w:r>
        <w:rPr>
          <w:rFonts w:ascii="Times New Roman;serif" w:hAnsi="Times New Roman;serif"/>
          <w:b w:val="false"/>
          <w:color w:val="000000"/>
          <w:sz w:val="24"/>
        </w:rPr>
        <w:t>.</w:t>
      </w:r>
    </w:p>
    <w:p>
      <w:pPr>
        <w:pStyle w:val="TextBody"/>
        <w:bidi w:val="0"/>
        <w:spacing w:before="0" w:after="0"/>
        <w:jc w:val="left"/>
        <w:rPr/>
      </w:pPr>
      <w:r>
        <w:rPr/>
      </w:r>
    </w:p>
    <w:p>
      <w:pPr>
        <w:pStyle w:val="TextBody"/>
        <w:bidi w:val="0"/>
        <w:spacing w:lineRule="auto" w:line="288" w:before="1" w:after="283"/>
        <w:ind w:left="0" w:right="0" w:hanging="721"/>
        <w:jc w:val="both"/>
        <w:rPr/>
      </w:pPr>
      <w:r>
        <w:rPr>
          <w:rFonts w:ascii="Times New Roman;serif" w:hAnsi="Times New Roman;serif"/>
          <w:b w:val="false"/>
          <w:color w:val="000000"/>
          <w:sz w:val="24"/>
        </w:rPr>
        <w:t>3.</w:t>
      </w:r>
      <w:r>
        <w:rPr>
          <w:rFonts w:ascii="Times New Roman;serif" w:hAnsi="Times New Roman;serif"/>
          <w:b/>
          <w:color w:val="000000"/>
          <w:sz w:val="24"/>
          <w:u w:val="single"/>
        </w:rPr>
        <w:t>Compensation</w:t>
      </w:r>
      <w:r>
        <w:rPr>
          <w:rFonts w:ascii="Times New Roman;serif" w:hAnsi="Times New Roman;serif"/>
          <w:b w:val="false"/>
          <w:color w:val="000000"/>
          <w:sz w:val="24"/>
        </w:rPr>
        <w:t>. Figure will pay you a salary at the rate of $</w:t>
      </w:r>
      <w:r>
        <w:rPr>
          <w:rFonts w:ascii="Times New Roman;serif" w:hAnsi="Times New Roman;serif"/>
          <w:b w:val="false"/>
          <w:color w:val="212121"/>
          <w:sz w:val="24"/>
        </w:rPr>
        <w:t xml:space="preserve">275,000 </w:t>
      </w:r>
      <w:r>
        <w:rPr>
          <w:rFonts w:ascii="Times New Roman;serif" w:hAnsi="Times New Roman;serif"/>
          <w:b w:val="false"/>
          <w:color w:val="000000"/>
          <w:sz w:val="24"/>
        </w:rPr>
        <w:t>per year, subject to deductions for taxes and other withholdings as required by law and based on benefits you elect and authorize for deduction purposes. You will be classified as exempt for purposes of applicable federal and state employment laws.</w:t>
      </w:r>
    </w:p>
    <w:p>
      <w:pPr>
        <w:pStyle w:val="TextBody"/>
        <w:bidi w:val="0"/>
        <w:spacing w:lineRule="auto" w:line="288" w:before="276" w:after="283"/>
        <w:ind w:left="0" w:right="0" w:hanging="721"/>
        <w:jc w:val="left"/>
        <w:rPr/>
      </w:pPr>
      <w:r>
        <w:rPr>
          <w:rFonts w:ascii="Times New Roman;serif" w:hAnsi="Times New Roman;serif"/>
          <w:b w:val="false"/>
          <w:color w:val="000000"/>
          <w:sz w:val="24"/>
        </w:rPr>
        <w:t>4.</w:t>
      </w:r>
      <w:r>
        <w:rPr>
          <w:rFonts w:ascii="Times New Roman;serif" w:hAnsi="Times New Roman;serif"/>
          <w:b/>
          <w:color w:val="000000"/>
          <w:sz w:val="24"/>
          <w:u w:val="single"/>
        </w:rPr>
        <w:t>Bonus</w:t>
      </w:r>
      <w:r>
        <w:rPr>
          <w:rFonts w:ascii="Times New Roman;serif" w:hAnsi="Times New Roman;serif"/>
          <w:b w:val="false"/>
          <w:color w:val="000000"/>
          <w:sz w:val="24"/>
        </w:rPr>
        <w:t>. You will be eligible to participate in Figure’s bonus plan (as in effect from time to time), which is based on a target of 50% of your quarterly base salary and may be earned each quarter after your first full quarter of employment; provided that if your employment starts within the first month of a quarter, you will be eligible to receive a prorated bonus based on days worked for that quarter. Bonuses are subject to Figure and individual quarterly performance.</w:t>
      </w:r>
    </w:p>
    <w:p>
      <w:pPr>
        <w:pStyle w:val="TextBody"/>
        <w:bidi w:val="0"/>
        <w:spacing w:before="0" w:after="0"/>
        <w:jc w:val="left"/>
        <w:rPr/>
      </w:pPr>
      <w:r>
        <w:rPr/>
      </w:r>
    </w:p>
    <w:p>
      <w:pPr>
        <w:pStyle w:val="TextBody"/>
        <w:bidi w:val="0"/>
        <w:spacing w:lineRule="auto" w:line="288" w:before="0" w:after="0"/>
        <w:ind w:left="0" w:right="0" w:hanging="721"/>
        <w:jc w:val="both"/>
        <w:rPr/>
      </w:pPr>
      <w:r>
        <w:rPr>
          <w:rFonts w:ascii="Times New Roman;serif" w:hAnsi="Times New Roman;serif"/>
          <w:b w:val="false"/>
          <w:color w:val="000000"/>
          <w:sz w:val="24"/>
        </w:rPr>
        <w:t>5.</w:t>
      </w:r>
      <w:r>
        <w:rPr>
          <w:rFonts w:ascii="Times New Roman;serif" w:hAnsi="Times New Roman;serif"/>
          <w:b/>
          <w:color w:val="000000"/>
          <w:sz w:val="24"/>
          <w:u w:val="single"/>
        </w:rPr>
        <w:t>Benefits</w:t>
      </w:r>
      <w:r>
        <w:rPr>
          <w:rFonts w:ascii="Times New Roman;serif" w:hAnsi="Times New Roman;serif"/>
          <w:b w:val="false"/>
          <w:color w:val="000000"/>
          <w:sz w:val="24"/>
        </w:rPr>
        <w:t>. You will be eligible to participate in company-sponsored benefits. Details on current offerings will be provided separately. In addition, you will be entitled to paid vacation in accordance with Figure’s vacation policy, as in effect from time to time.</w:t>
      </w:r>
    </w:p>
    <w:p>
      <w:pPr>
        <w:pStyle w:val="TextBody"/>
        <w:bidi w:val="0"/>
        <w:spacing w:before="0" w:after="0"/>
        <w:jc w:val="left"/>
        <w:rPr/>
      </w:pPr>
      <w:r>
        <w:rPr/>
      </w:r>
    </w:p>
    <w:p>
      <w:pPr>
        <w:pStyle w:val="TextBody"/>
        <w:bidi w:val="0"/>
        <w:spacing w:lineRule="auto" w:line="288"/>
        <w:ind w:left="0" w:right="0" w:hanging="721"/>
        <w:jc w:val="both"/>
        <w:rPr/>
      </w:pPr>
      <w:r>
        <w:rPr>
          <w:rFonts w:ascii="Times New Roman;serif" w:hAnsi="Times New Roman;serif"/>
          <w:b w:val="false"/>
          <w:color w:val="000000"/>
          <w:sz w:val="24"/>
        </w:rPr>
        <w:t>6.</w:t>
      </w:r>
      <w:r>
        <w:rPr>
          <w:rFonts w:ascii="Times New Roman;serif" w:hAnsi="Times New Roman;serif"/>
          <w:b/>
          <w:color w:val="000000"/>
          <w:sz w:val="24"/>
          <w:u w:val="single"/>
        </w:rPr>
        <w:t>Stock Options</w:t>
      </w:r>
      <w:r>
        <w:rPr>
          <w:rFonts w:ascii="Times New Roman;serif" w:hAnsi="Times New Roman;serif"/>
          <w:b w:val="false"/>
          <w:color w:val="000000"/>
          <w:sz w:val="24"/>
        </w:rPr>
        <w:t xml:space="preserve">. You will be granted an option to purchase </w:t>
      </w:r>
      <w:r>
        <w:rPr>
          <w:rFonts w:ascii="Times New Roman;serif" w:hAnsi="Times New Roman;serif"/>
          <w:b w:val="false"/>
          <w:color w:val="212121"/>
          <w:sz w:val="24"/>
        </w:rPr>
        <w:t xml:space="preserve">275,000 </w:t>
      </w:r>
      <w:r>
        <w:rPr>
          <w:rFonts w:ascii="Times New Roman;serif" w:hAnsi="Times New Roman;serif"/>
          <w:b w:val="false"/>
          <w:color w:val="000000"/>
          <w:sz w:val="24"/>
        </w:rPr>
        <w:t>shares of Figure’s common stock (the “Option”). The exercise price per share of the Option is determined by the Board of Directors when the Option is granted. The Option will be subject to the terms and conditions applicable to options granted under Figure’s 2018 Equity Incentive Plan (the “Plan”), as described in the Plan and the applicable Restricted Stock Purchase Agreement that will be provided to you when the Option vests. During your employment at Figure, you will vest in 12/48ths of the Option after 12 months of continuous service, and the balance will vest in equal monthly installments over the next 36 months of continuous service, as described in the applicable Restricted Stock Purchase Agreement.</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6480175" cy="175260"/>
                <wp:effectExtent l="0" t="0" r="0" b="0"/>
                <wp:wrapNone/>
                <wp:docPr id="248" name="Frame2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721"/>
        <w:jc w:val="both"/>
        <w:rPr/>
      </w:pPr>
      <w:r>
        <w:rPr>
          <w:rFonts w:ascii="Times New Roman;serif" w:hAnsi="Times New Roman;serif"/>
          <w:b/>
          <w:color w:val="000000"/>
          <w:sz w:val="24"/>
        </w:rPr>
        <w:t>7.</w:t>
      </w:r>
      <w:r>
        <w:rPr>
          <w:rFonts w:ascii="Times New Roman;serif" w:hAnsi="Times New Roman;serif"/>
          <w:b/>
          <w:color w:val="000000"/>
          <w:sz w:val="24"/>
          <w:u w:val="single"/>
        </w:rPr>
        <w:t>Confidential Information, Invention Assignment.</w:t>
      </w:r>
      <w:r>
        <w:rPr>
          <w:color w:val="000000"/>
        </w:rPr>
        <w:t xml:space="preserve"> </w:t>
      </w:r>
      <w:r>
        <w:rPr>
          <w:rFonts w:ascii="Times New Roman;serif" w:hAnsi="Times New Roman;serif"/>
          <w:b w:val="false"/>
          <w:color w:val="000000"/>
          <w:sz w:val="24"/>
        </w:rPr>
        <w:t>As a condition of your employment with Figure, you are required to sign Figure’s standard At-Will Employment, Confidential Information and Invention Assignment Agreement, a copy of which is attached hereto for your reference as Exhibit</w:t>
      </w:r>
    </w:p>
    <w:p>
      <w:pPr>
        <w:pStyle w:val="TextBody"/>
        <w:bidi w:val="0"/>
        <w:spacing w:lineRule="auto" w:line="288" w:before="0" w:after="0"/>
        <w:jc w:val="both"/>
        <w:rPr/>
      </w:pPr>
      <w:r>
        <w:rPr>
          <w:rFonts w:ascii="Times New Roman;serif" w:hAnsi="Times New Roman;serif"/>
          <w:b w:val="false"/>
          <w:color w:val="000000"/>
          <w:sz w:val="22"/>
        </w:rPr>
        <w:t>1.</w:t>
      </w:r>
      <w:r>
        <w:rPr>
          <w:rFonts w:ascii="Times New Roman;serif" w:hAnsi="Times New Roman;serif"/>
          <w:b w:val="false"/>
          <w:color w:val="000000"/>
          <w:sz w:val="24"/>
        </w:rPr>
        <w:t>The At-Will Employment, Confidential Information and Invention Assignment Agreement will be signed by you as a part of this Agreement during your onboarding process.</w:t>
      </w:r>
    </w:p>
    <w:p>
      <w:pPr>
        <w:pStyle w:val="TextBody"/>
        <w:bidi w:val="0"/>
        <w:spacing w:before="0" w:after="0"/>
        <w:jc w:val="left"/>
        <w:rPr/>
      </w:pPr>
      <w:r>
        <w:rPr/>
      </w:r>
    </w:p>
    <w:p>
      <w:pPr>
        <w:pStyle w:val="TextBody"/>
        <w:bidi w:val="0"/>
        <w:spacing w:lineRule="auto" w:line="288" w:before="0" w:after="0"/>
        <w:ind w:left="0" w:right="0" w:hanging="721"/>
        <w:jc w:val="both"/>
        <w:rPr/>
      </w:pPr>
      <w:r>
        <w:rPr>
          <w:rFonts w:ascii="Times New Roman;serif" w:hAnsi="Times New Roman;serif"/>
          <w:b w:val="false"/>
          <w:color w:val="000000"/>
          <w:sz w:val="24"/>
        </w:rPr>
        <w:t>8.</w:t>
      </w:r>
      <w:r>
        <w:rPr>
          <w:rFonts w:ascii="Times New Roman;serif" w:hAnsi="Times New Roman;serif"/>
          <w:b/>
          <w:color w:val="000000"/>
          <w:sz w:val="24"/>
          <w:u w:val="single"/>
        </w:rPr>
        <w:t>Arbitration Agreement.</w:t>
      </w:r>
      <w:r>
        <w:rPr>
          <w:color w:val="000000"/>
        </w:rPr>
        <w:t xml:space="preserve"> </w:t>
      </w:r>
      <w:r>
        <w:rPr>
          <w:rFonts w:ascii="Times New Roman;serif" w:hAnsi="Times New Roman;serif"/>
          <w:b w:val="false"/>
          <w:color w:val="000000"/>
          <w:sz w:val="24"/>
        </w:rPr>
        <w:t>As a condition of your employment with Figure, you agree to be bound by your and Figure’s Mutual Agreement to Arbitrate, which will be separately presented to you on or before your first day of employment.</w:t>
      </w:r>
    </w:p>
    <w:p>
      <w:pPr>
        <w:pStyle w:val="TextBody"/>
        <w:bidi w:val="0"/>
        <w:spacing w:before="0" w:after="0"/>
        <w:jc w:val="left"/>
        <w:rPr/>
      </w:pPr>
      <w:r>
        <w:rPr/>
      </w:r>
    </w:p>
    <w:p>
      <w:pPr>
        <w:pStyle w:val="TextBody"/>
        <w:bidi w:val="0"/>
        <w:spacing w:lineRule="auto" w:line="288" w:before="1" w:after="283"/>
        <w:ind w:left="0" w:right="0" w:hanging="721"/>
        <w:jc w:val="both"/>
        <w:rPr/>
      </w:pPr>
      <w:r>
        <w:rPr>
          <w:rFonts w:ascii="Times New Roman;serif" w:hAnsi="Times New Roman;serif"/>
          <w:b w:val="false"/>
          <w:color w:val="000000"/>
          <w:sz w:val="24"/>
        </w:rPr>
        <w:t>9.</w:t>
      </w:r>
      <w:r>
        <w:rPr>
          <w:rFonts w:ascii="Times New Roman;serif" w:hAnsi="Times New Roman;serif"/>
          <w:b/>
          <w:color w:val="000000"/>
          <w:sz w:val="24"/>
          <w:u w:val="single"/>
        </w:rPr>
        <w:t>At-Will Employment Relationship</w:t>
      </w:r>
      <w:r>
        <w:rPr>
          <w:rFonts w:ascii="Times New Roman;serif" w:hAnsi="Times New Roman;serif"/>
          <w:b w:val="false"/>
          <w:color w:val="000000"/>
          <w:sz w:val="24"/>
        </w:rPr>
        <w:t>. Employment with Figure is for no specific period of time. Your employment with Figure will be “at will,” meaning that either you or Figure may terminate your employment at any time and for any reason, with or without cause, and with or without notice. Any contrary representations that may have been made to you are superseded by this Agreement. This is the full and complete agreement between you and Figure on this matter. Although your job duties, title, compensation and benefits, as well as Figure’s personnel policies and procedures, may change from time to time, the “at will” nature of your employment may only be changed in an express written agreement signed by you and the President or CEO of Figure.</w:t>
      </w:r>
    </w:p>
    <w:p>
      <w:pPr>
        <w:pStyle w:val="TextBody"/>
        <w:bidi w:val="0"/>
        <w:spacing w:before="0" w:after="0"/>
        <w:jc w:val="left"/>
        <w:rPr/>
      </w:pPr>
      <w:r>
        <w:rPr/>
      </w:r>
    </w:p>
    <w:p>
      <w:pPr>
        <w:pStyle w:val="TextBody"/>
        <w:bidi w:val="0"/>
        <w:spacing w:lineRule="auto" w:line="288" w:before="0" w:after="0"/>
        <w:ind w:left="0" w:right="0" w:hanging="721"/>
        <w:jc w:val="left"/>
        <w:rPr/>
      </w:pPr>
      <w:r>
        <w:rPr>
          <w:rFonts w:ascii="Times New Roman;serif" w:hAnsi="Times New Roman;serif"/>
          <w:b w:val="false"/>
          <w:color w:val="000000"/>
          <w:sz w:val="24"/>
        </w:rPr>
        <w:t>10.</w:t>
      </w:r>
      <w:r>
        <w:rPr>
          <w:rFonts w:ascii="Times New Roman;serif" w:hAnsi="Times New Roman;serif"/>
          <w:b/>
          <w:color w:val="000000"/>
          <w:sz w:val="24"/>
          <w:u w:val="single"/>
        </w:rPr>
        <w:t>Tax Matters.</w:t>
      </w:r>
      <w:r>
        <w:rPr>
          <w:color w:val="000000"/>
        </w:rPr>
        <w:t xml:space="preserve"> </w:t>
      </w:r>
      <w:r>
        <w:rPr>
          <w:rFonts w:ascii="Times New Roman;serif" w:hAnsi="Times New Roman;serif"/>
          <w:b w:val="false"/>
          <w:color w:val="000000"/>
          <w:sz w:val="24"/>
        </w:rPr>
        <w:t>You are encouraged to obtain your own tax advice regarding your compensation from Figure. You agree that Figure does not have a duty to design its compensation policies in a manner that minimizes your tax liabilities, and you will not make any claim against Figure or its Board of Directors related to tax liabilities arising from your compensation.</w:t>
      </w:r>
    </w:p>
    <w:p>
      <w:pPr>
        <w:pStyle w:val="TextBody"/>
        <w:bidi w:val="0"/>
        <w:spacing w:before="0" w:after="0"/>
        <w:jc w:val="left"/>
        <w:rPr/>
      </w:pPr>
      <w:r>
        <w:rPr/>
      </w:r>
    </w:p>
    <w:p>
      <w:pPr>
        <w:pStyle w:val="TextBody"/>
        <w:bidi w:val="0"/>
        <w:spacing w:lineRule="auto" w:line="288" w:before="0" w:after="0"/>
        <w:ind w:left="0" w:right="0" w:hanging="721"/>
        <w:jc w:val="both"/>
        <w:rPr/>
      </w:pPr>
      <w:r>
        <w:rPr>
          <w:rFonts w:ascii="Times New Roman;serif" w:hAnsi="Times New Roman;serif"/>
          <w:b w:val="false"/>
          <w:color w:val="000000"/>
          <w:sz w:val="24"/>
        </w:rPr>
        <w:t>11.</w:t>
      </w:r>
      <w:r>
        <w:rPr>
          <w:rFonts w:ascii="Times New Roman;serif" w:hAnsi="Times New Roman;serif"/>
          <w:b/>
          <w:color w:val="000000"/>
          <w:sz w:val="24"/>
          <w:u w:val="single"/>
        </w:rPr>
        <w:t>Outside Activities</w:t>
      </w:r>
      <w:r>
        <w:rPr>
          <w:rFonts w:ascii="Times New Roman;serif" w:hAnsi="Times New Roman;serif"/>
          <w:b w:val="false"/>
          <w:color w:val="000000"/>
          <w:sz w:val="24"/>
        </w:rPr>
        <w:t>. While you render services to Figure, you agree that you will not engage in any other employment, consulting or other business activity without the written consent of one of Figure’s officers. In addition, while you render services to Figure, you will not assist any person or entity in competing with Figure, in preparing to compete with Figure or in hiring any employees or consultants of Figure.</w:t>
      </w:r>
    </w:p>
    <w:p>
      <w:pPr>
        <w:pStyle w:val="TextBody"/>
        <w:bidi w:val="0"/>
        <w:spacing w:before="0" w:after="0"/>
        <w:jc w:val="left"/>
        <w:rPr/>
      </w:pPr>
      <w:r>
        <w:rPr/>
      </w:r>
    </w:p>
    <w:p>
      <w:pPr>
        <w:pStyle w:val="TextBody"/>
        <w:bidi w:val="0"/>
        <w:spacing w:lineRule="auto" w:line="288" w:before="0" w:after="0"/>
        <w:ind w:left="0" w:right="0" w:hanging="721"/>
        <w:jc w:val="both"/>
        <w:rPr/>
      </w:pPr>
      <w:r>
        <w:rPr>
          <w:rFonts w:ascii="Times New Roman;serif" w:hAnsi="Times New Roman;serif"/>
          <w:b w:val="false"/>
          <w:color w:val="000000"/>
          <w:sz w:val="24"/>
        </w:rPr>
        <w:t>12.</w:t>
      </w:r>
      <w:r>
        <w:rPr>
          <w:rFonts w:ascii="Times New Roman;serif" w:hAnsi="Times New Roman;serif"/>
          <w:b/>
          <w:color w:val="000000"/>
          <w:sz w:val="24"/>
          <w:u w:val="single"/>
        </w:rPr>
        <w:t>Background Check</w:t>
      </w:r>
      <w:r>
        <w:rPr>
          <w:rFonts w:ascii="Times New Roman;serif" w:hAnsi="Times New Roman;serif"/>
          <w:b w:val="false"/>
          <w:color w:val="000000"/>
          <w:sz w:val="24"/>
        </w:rPr>
        <w:t xml:space="preserve">. We are extending this offer contingent upon satisfactory completion of our routine background, consumer credit report, and reference check (collectively, the “Background Check”). If the Background Check is not complete prior to </w:t>
      </w:r>
      <w:r>
        <w:rPr>
          <w:rFonts w:ascii="Times New Roman;serif" w:hAnsi="Times New Roman;serif"/>
          <w:b w:val="false"/>
          <w:color w:val="212121"/>
          <w:sz w:val="24"/>
        </w:rPr>
        <w:t>November 13, 2023, Figure may postpone your start date or terminate this Agreement</w:t>
      </w:r>
      <w:r>
        <w:rPr>
          <w:rFonts w:ascii="Times New Roman;serif" w:hAnsi="Times New Roman;serif"/>
          <w:b w:val="false"/>
          <w:color w:val="000000"/>
          <w:sz w:val="24"/>
        </w:rPr>
        <w:t>. More information and consent to the background check will be provided in a separate communication.</w:t>
      </w:r>
    </w:p>
    <w:p>
      <w:pPr>
        <w:pStyle w:val="TextBody"/>
        <w:bidi w:val="0"/>
        <w:spacing w:before="0" w:after="0"/>
        <w:jc w:val="left"/>
        <w:rPr/>
      </w:pPr>
      <w:r>
        <w:rPr/>
      </w:r>
    </w:p>
    <w:p>
      <w:pPr>
        <w:pStyle w:val="TextBody"/>
        <w:bidi w:val="0"/>
        <w:spacing w:before="1" w:after="283"/>
        <w:jc w:val="left"/>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 * * *</w:t>
      </w:r>
    </w:p>
    <w:p>
      <w:pPr>
        <w:pStyle w:val="TextBody"/>
        <w:bidi w:val="0"/>
        <w:spacing w:before="0" w:after="0"/>
        <w:jc w:val="left"/>
        <w:rPr/>
      </w:pPr>
      <w:r>
        <w:rPr/>
      </w:r>
    </w:p>
    <w:p>
      <w:pPr>
        <w:pStyle w:val="TextBody"/>
        <w:bidi w:val="0"/>
        <w:spacing w:before="1" w:after="283"/>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We hope that you will accept our offer to join Figure. You may indicate your agreement with these terms and accept this offer by signing and dating this Agreement.</w:t>
      </w:r>
    </w:p>
    <w:p>
      <w:pPr>
        <w:pStyle w:val="TextBody"/>
        <w:bidi w:val="0"/>
        <w:spacing w:before="0" w:after="283"/>
        <w:jc w:val="left"/>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6480175" cy="175260"/>
                <wp:effectExtent l="0" t="0" r="0" b="0"/>
                <wp:wrapNone/>
                <wp:docPr id="249" name="Frame2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140" w:after="283"/>
        <w:jc w:val="left"/>
        <w:rPr/>
      </w:pPr>
      <w:r>
        <w:rPr/>
      </w:r>
    </w:p>
    <w:p>
      <w:pPr>
        <w:pStyle w:val="TextBody"/>
        <w:bidi w:val="0"/>
        <w:spacing w:lineRule="auto" w:line="288" w:before="1" w:after="283"/>
        <w:jc w:val="both"/>
        <w:rPr/>
      </w:pPr>
      <w:r>
        <w:rPr>
          <w:rFonts w:ascii="Times New Roman;serif" w:hAnsi="Times New Roman;serif"/>
          <w:b w:val="false"/>
          <w:color w:val="000000"/>
          <w:sz w:val="24"/>
        </w:rPr>
        <w:t xml:space="preserve">This offer, if not accepted, will expire at the close of business on </w:t>
      </w:r>
      <w:r>
        <w:rPr>
          <w:rFonts w:ascii="Times New Roman;serif" w:hAnsi="Times New Roman;serif"/>
          <w:b w:val="false"/>
          <w:color w:val="212121"/>
          <w:sz w:val="24"/>
        </w:rPr>
        <w:t>October 16, 2023</w:t>
      </w:r>
      <w:r>
        <w:rPr>
          <w:rFonts w:ascii="Times New Roman;serif" w:hAnsi="Times New Roman;serif"/>
          <w:b w:val="false"/>
          <w:color w:val="000000"/>
          <w:sz w:val="24"/>
        </w:rPr>
        <w:t xml:space="preserve">. As required by law, your employment with Figure is contingent upon your providing legal proof of your identity and authorization to work in the United States. Your employment is also contingent upon acceptable Background Check results and you starting work with Figure on or before </w:t>
      </w:r>
      <w:r>
        <w:rPr>
          <w:rFonts w:ascii="Times New Roman;serif" w:hAnsi="Times New Roman;serif"/>
          <w:b w:val="false"/>
          <w:color w:val="212121"/>
          <w:sz w:val="24"/>
        </w:rPr>
        <w:t>the Effective Date</w:t>
      </w:r>
      <w:r>
        <w:rPr>
          <w:rFonts w:ascii="Times New Roman;serif" w:hAnsi="Times New Roman;serif"/>
          <w:b w:val="false"/>
          <w:color w:val="000000"/>
          <w:sz w:val="24"/>
        </w:rPr>
        <w:t>.</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Kind Regards,</w:t>
      </w:r>
    </w:p>
    <w:tbl>
      <w:tblPr>
        <w:tblW w:w="4706" w:type="dxa"/>
        <w:jc w:val="left"/>
        <w:tblInd w:w="0" w:type="dxa"/>
        <w:tblLayout w:type="fixed"/>
        <w:tblCellMar>
          <w:top w:w="28" w:type="dxa"/>
          <w:left w:w="28" w:type="dxa"/>
          <w:bottom w:w="28" w:type="dxa"/>
          <w:right w:w="28" w:type="dxa"/>
        </w:tblCellMar>
      </w:tblPr>
      <w:tblGrid>
        <w:gridCol w:w="1182"/>
        <w:gridCol w:w="1042"/>
        <w:gridCol w:w="1046"/>
        <w:gridCol w:w="109"/>
        <w:gridCol w:w="109"/>
        <w:gridCol w:w="109"/>
        <w:gridCol w:w="324"/>
        <w:gridCol w:w="324"/>
        <w:gridCol w:w="461"/>
      </w:tblGrid>
      <w:tr>
        <w:trPr/>
        <w:tc>
          <w:tcPr>
            <w:tcW w:w="1182"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Doug Burns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10/27/2023</w:t>
            </w:r>
          </w:p>
        </w:tc>
      </w:tr>
      <w:tr>
        <w:trPr/>
        <w:tc>
          <w:tcPr>
            <w:tcW w:w="32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Douglas Burns, Chief People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6" w:after="283"/>
        <w:jc w:val="left"/>
        <w:rPr/>
      </w:pPr>
      <w:r>
        <w:rPr/>
      </w:r>
    </w:p>
    <w:p>
      <w:pPr>
        <w:pStyle w:val="TextBody"/>
        <w:bidi w:val="0"/>
        <w:spacing w:before="136" w:after="283"/>
        <w:jc w:val="left"/>
        <w:rPr/>
      </w:pPr>
      <w:r>
        <w:rPr/>
      </w:r>
    </w:p>
    <w:p>
      <w:pPr>
        <w:pStyle w:val="TextBody"/>
        <w:bidi w:val="0"/>
        <w:spacing w:lineRule="auto" w:line="288" w:before="1" w:after="283"/>
        <w:jc w:val="left"/>
        <w:rPr>
          <w:rFonts w:ascii="Times New Roman;serif" w:hAnsi="Times New Roman;serif"/>
          <w:b w:val="false"/>
          <w:color w:val="000000"/>
          <w:sz w:val="24"/>
        </w:rPr>
      </w:pPr>
      <w:r>
        <w:rPr>
          <w:rFonts w:ascii="Times New Roman;serif" w:hAnsi="Times New Roman;serif"/>
          <w:b w:val="false"/>
          <w:color w:val="000000"/>
          <w:sz w:val="24"/>
        </w:rPr>
        <w:t>I have read and accept this employment offer:</w:t>
      </w:r>
    </w:p>
    <w:p>
      <w:pPr>
        <w:pStyle w:val="TextBody"/>
        <w:bidi w:val="0"/>
        <w:spacing w:before="0" w:after="0"/>
        <w:jc w:val="left"/>
        <w:rPr/>
      </w:pPr>
      <w:r>
        <w:rPr/>
      </w:r>
    </w:p>
    <w:tbl>
      <w:tblPr>
        <w:tblW w:w="3055" w:type="dxa"/>
        <w:jc w:val="left"/>
        <w:tblInd w:w="0" w:type="dxa"/>
        <w:tblLayout w:type="fixed"/>
        <w:tblCellMar>
          <w:top w:w="28" w:type="dxa"/>
          <w:left w:w="28" w:type="dxa"/>
          <w:bottom w:w="28" w:type="dxa"/>
          <w:right w:w="28" w:type="dxa"/>
        </w:tblCellMar>
      </w:tblPr>
      <w:tblGrid>
        <w:gridCol w:w="585"/>
        <w:gridCol w:w="516"/>
        <w:gridCol w:w="518"/>
        <w:gridCol w:w="109"/>
        <w:gridCol w:w="109"/>
        <w:gridCol w:w="109"/>
        <w:gridCol w:w="324"/>
        <w:gridCol w:w="324"/>
        <w:gridCol w:w="461"/>
      </w:tblGrid>
      <w:tr>
        <w:trPr/>
        <w:tc>
          <w:tcPr>
            <w:tcW w:w="585"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r>
      <w:tr>
        <w:trPr/>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Todd Stevens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10/27/2023</w:t>
            </w:r>
          </w:p>
        </w:tc>
      </w:tr>
      <w:tr>
        <w:trPr/>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6480175" cy="175260"/>
                <wp:effectExtent l="0" t="0" r="0" b="0"/>
                <wp:wrapNone/>
                <wp:docPr id="250" name="Frame2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45" w:after="283"/>
        <w:jc w:val="center"/>
        <w:rPr>
          <w:rFonts w:ascii="Times New Roman;serif" w:hAnsi="Times New Roman;serif"/>
          <w:b/>
          <w:color w:val="FF0000"/>
          <w:sz w:val="24"/>
          <w:u w:val="single"/>
        </w:rPr>
      </w:pPr>
      <w:r>
        <w:rPr>
          <w:rFonts w:ascii="Times New Roman;serif" w:hAnsi="Times New Roman;serif"/>
          <w:b/>
          <w:color w:val="FF0000"/>
          <w:sz w:val="24"/>
          <w:u w:val="single"/>
        </w:rPr>
        <w:t>FOR REFERENCE ONLY</w:t>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Exhibit 1</w:t>
      </w:r>
    </w:p>
    <w:p>
      <w:pPr>
        <w:pStyle w:val="TextBody"/>
        <w:bidi w:val="0"/>
        <w:spacing w:lineRule="auto" w:line="288" w:before="0" w:after="0"/>
        <w:ind w:left="0" w:right="0" w:firstLine="6"/>
        <w:jc w:val="center"/>
        <w:rPr/>
      </w:pPr>
      <w:r>
        <w:rPr>
          <w:rFonts w:ascii="Times New Roman;serif" w:hAnsi="Times New Roman;serif"/>
          <w:b/>
          <w:color w:val="000000"/>
          <w:sz w:val="24"/>
          <w:u w:val="single"/>
        </w:rPr>
        <w:t>FIGURE TECHNOLOGIES, INC.</w:t>
      </w:r>
      <w:r>
        <w:rPr>
          <w:color w:val="000000"/>
        </w:rPr>
        <w:t xml:space="preserve"> </w:t>
      </w:r>
      <w:r>
        <w:rPr>
          <w:rFonts w:ascii="Times New Roman;serif" w:hAnsi="Times New Roman;serif"/>
          <w:b/>
          <w:color w:val="000000"/>
          <w:sz w:val="24"/>
          <w:u w:val="single"/>
        </w:rPr>
        <w:t>CONFIDENTIAL INFORMATION &amp;</w:t>
      </w:r>
      <w:r>
        <w:rPr>
          <w:color w:val="000000"/>
        </w:rPr>
        <w:t xml:space="preserve"> </w:t>
      </w:r>
      <w:r>
        <w:rPr>
          <w:rFonts w:ascii="Times New Roman;serif" w:hAnsi="Times New Roman;serif"/>
          <w:b/>
          <w:color w:val="000000"/>
          <w:sz w:val="24"/>
          <w:u w:val="single"/>
        </w:rPr>
        <w:t>INVENTION ASSIGNMENT AGREEMENT</w:t>
      </w:r>
    </w:p>
    <w:p>
      <w:pPr>
        <w:pStyle w:val="TextBody"/>
        <w:bidi w:val="0"/>
        <w:spacing w:before="29" w:after="283"/>
        <w:jc w:val="left"/>
        <w:rPr/>
      </w:pPr>
      <w:r>
        <w:rPr/>
      </w:r>
    </w:p>
    <w:p>
      <w:pPr>
        <w:pStyle w:val="TextBody"/>
        <w:bidi w:val="0"/>
        <w:spacing w:lineRule="auto" w:line="288" w:before="0" w:after="0"/>
        <w:jc w:val="both"/>
        <w:rPr/>
      </w:pPr>
      <w:r>
        <w:rPr>
          <w:rFonts w:ascii="Times New Roman;serif" w:hAnsi="Times New Roman;serif"/>
          <w:b w:val="false"/>
          <w:color w:val="000000"/>
          <w:sz w:val="21"/>
        </w:rPr>
        <w:t>As a condition of my employment with Figure Technologies, Inc., its subsidiaries, affiliates, successors or assigns (together, “</w:t>
      </w:r>
      <w:r>
        <w:rPr>
          <w:rFonts w:ascii="Times New Roman;serif" w:hAnsi="Times New Roman;serif"/>
          <w:b/>
          <w:color w:val="000000"/>
          <w:sz w:val="21"/>
        </w:rPr>
        <w:t>Figure</w:t>
      </w:r>
      <w:r>
        <w:rPr>
          <w:color w:val="000000"/>
        </w:rPr>
        <w:t xml:space="preserve">” </w:t>
      </w:r>
      <w:r>
        <w:rPr>
          <w:rFonts w:ascii="Times New Roman;serif" w:hAnsi="Times New Roman;serif"/>
          <w:b w:val="false"/>
          <w:color w:val="000000"/>
          <w:sz w:val="21"/>
        </w:rPr>
        <w:t>or “</w:t>
      </w:r>
      <w:r>
        <w:rPr>
          <w:rFonts w:ascii="Times New Roman;serif" w:hAnsi="Times New Roman;serif"/>
          <w:b/>
          <w:color w:val="000000"/>
          <w:sz w:val="21"/>
        </w:rPr>
        <w:t>Company</w:t>
      </w:r>
      <w:r>
        <w:rPr>
          <w:color w:val="000000"/>
        </w:rPr>
        <w:t>”</w:t>
      </w:r>
      <w:r>
        <w:rPr>
          <w:rFonts w:ascii="Times New Roman;serif" w:hAnsi="Times New Roman;serif"/>
          <w:b w:val="false"/>
          <w:color w:val="000000"/>
          <w:sz w:val="21"/>
        </w:rPr>
        <w:t>), and in consideration of my employment with the Company and my receipt of the compensation now and hereafter paid to me by Company, I agree to the following provisions of this Confidential Information &amp; Invention Assignment Agreement (this “</w:t>
      </w:r>
      <w:r>
        <w:rPr>
          <w:rFonts w:ascii="Times New Roman;serif" w:hAnsi="Times New Roman;serif"/>
          <w:b/>
          <w:color w:val="000000"/>
          <w:sz w:val="21"/>
        </w:rPr>
        <w:t>Confidential Information Agreement</w:t>
      </w:r>
      <w:r>
        <w:rPr>
          <w:color w:val="000000"/>
        </w:rPr>
        <w:t>”</w:t>
      </w:r>
      <w:r>
        <w:rPr>
          <w:rFonts w:ascii="Times New Roman;serif" w:hAnsi="Times New Roman;serif"/>
          <w:b w:val="false"/>
          <w:color w:val="000000"/>
          <w:sz w:val="21"/>
        </w:rPr>
        <w:t>):</w:t>
      </w:r>
    </w:p>
    <w:p>
      <w:pPr>
        <w:pStyle w:val="TextBody"/>
        <w:bidi w:val="0"/>
        <w:spacing w:before="6" w:after="283"/>
        <w:jc w:val="left"/>
        <w:rPr/>
      </w:pPr>
      <w:r>
        <w:rPr/>
      </w:r>
    </w:p>
    <w:p>
      <w:pPr>
        <w:pStyle w:val="TextBody"/>
        <w:bidi w:val="0"/>
        <w:spacing w:lineRule="auto" w:line="288" w:before="0" w:after="0"/>
        <w:ind w:left="0" w:right="0" w:hanging="722"/>
        <w:jc w:val="left"/>
        <w:rPr/>
      </w:pPr>
      <w:r>
        <w:rPr>
          <w:rFonts w:ascii="Times New Roman;serif" w:hAnsi="Times New Roman;serif"/>
          <w:b w:val="false"/>
          <w:color w:val="000000"/>
          <w:sz w:val="22"/>
        </w:rPr>
        <w:t>1.</w:t>
      </w:r>
      <w:r>
        <w:rPr>
          <w:rFonts w:ascii="Times New Roman;serif" w:hAnsi="Times New Roman;serif"/>
          <w:b/>
          <w:color w:val="000000"/>
          <w:sz w:val="21"/>
          <w:u w:val="single"/>
        </w:rPr>
        <w:t>APPLICABILITY TO PAST ACTIVITIES</w:t>
      </w:r>
    </w:p>
    <w:p>
      <w:pPr>
        <w:pStyle w:val="TextBody"/>
        <w:bidi w:val="0"/>
        <w:spacing w:lineRule="auto" w:line="288" w:before="237" w:after="283"/>
        <w:jc w:val="both"/>
        <w:rPr/>
      </w:pPr>
      <w:r>
        <w:rPr>
          <w:rFonts w:ascii="Times New Roman;serif" w:hAnsi="Times New Roman;serif"/>
          <w:b w:val="false"/>
          <w:color w:val="000000"/>
          <w:sz w:val="21"/>
        </w:rPr>
        <w:t>Figure and I acknowledge that I have been engaged to provide services by Figure for a period of time prior to the date of this Agreement (the “</w:t>
      </w:r>
      <w:r>
        <w:rPr>
          <w:rFonts w:ascii="Times New Roman;serif" w:hAnsi="Times New Roman;serif"/>
          <w:b/>
          <w:color w:val="000000"/>
          <w:sz w:val="21"/>
        </w:rPr>
        <w:t>Prior Engagement Period</w:t>
      </w:r>
      <w:r>
        <w:rPr>
          <w:color w:val="000000"/>
        </w:rPr>
        <w:t>”</w:t>
      </w:r>
      <w:r>
        <w:rPr>
          <w:rFonts w:ascii="Times New Roman;serif" w:hAnsi="Times New Roman;serif"/>
          <w:b w:val="false"/>
          <w:color w:val="000000"/>
          <w:sz w:val="21"/>
        </w:rPr>
        <w:t>). Accordingly, I agree that if and to the extent that, during the Prior Engagement Period: (i) I received access to any information from or on behalf of Company that would have been “Company Confidential Information” (as defined below) if I received access to such information during the period of my employment with Company under this Confidential Information Agreement; or (ii) I conceived, created, authored, invented, developed or reduced to practice any item, including any intellectual property rights with respect thereto, that would have been an “Invention” (as defined below) if conceived, created, authored, invented, developed or reduced to practice during the period of my employment with Company under this Confidential Information Agreement; then any such information shall be deemed “Company Confidential Information” hereunder and any such item shall be deemed an “Invention” hereunder, and this Agreement shall apply to such information or item as if conceived, created, authored, invented, developed or reduced to practice under this Agreement.</w:t>
      </w:r>
    </w:p>
    <w:p>
      <w:pPr>
        <w:pStyle w:val="TextBody"/>
        <w:bidi w:val="0"/>
        <w:spacing w:before="7" w:after="283"/>
        <w:jc w:val="left"/>
        <w:rPr/>
      </w:pPr>
      <w:r>
        <w:rPr/>
      </w:r>
    </w:p>
    <w:p>
      <w:pPr>
        <w:pStyle w:val="TextBody"/>
        <w:bidi w:val="0"/>
        <w:spacing w:lineRule="auto" w:line="288" w:before="0" w:after="0"/>
        <w:ind w:left="0" w:right="0" w:hanging="722"/>
        <w:jc w:val="left"/>
        <w:rPr/>
      </w:pPr>
      <w:r>
        <w:rPr>
          <w:rFonts w:ascii="Times New Roman;serif" w:hAnsi="Times New Roman;serif"/>
          <w:b w:val="false"/>
          <w:color w:val="000000"/>
          <w:sz w:val="22"/>
        </w:rPr>
        <w:t>2.</w:t>
      </w:r>
      <w:r>
        <w:rPr>
          <w:rFonts w:ascii="Times New Roman;serif" w:hAnsi="Times New Roman;serif"/>
          <w:b/>
          <w:color w:val="000000"/>
          <w:sz w:val="21"/>
          <w:u w:val="single"/>
        </w:rPr>
        <w:t>CONFIDENTIALITY</w:t>
      </w:r>
    </w:p>
    <w:p>
      <w:pPr>
        <w:pStyle w:val="TextBody"/>
        <w:bidi w:val="0"/>
        <w:spacing w:lineRule="auto" w:line="288" w:before="236" w:after="283"/>
        <w:ind w:left="0" w:right="0" w:firstLine="717"/>
        <w:jc w:val="both"/>
        <w:rPr/>
      </w:pPr>
      <w:r>
        <w:rPr>
          <w:rFonts w:ascii="Times New Roman;serif" w:hAnsi="Times New Roman;serif"/>
          <w:b w:val="false"/>
          <w:color w:val="000000"/>
          <w:sz w:val="21"/>
        </w:rPr>
        <w:t>A.</w:t>
      </w:r>
      <w:r>
        <w:rPr>
          <w:rFonts w:ascii="Times New Roman;serif" w:hAnsi="Times New Roman;serif"/>
          <w:b w:val="false"/>
          <w:i/>
          <w:color w:val="000000"/>
          <w:sz w:val="21"/>
        </w:rPr>
        <w:t>Definition of Company Confidential Information</w:t>
      </w:r>
      <w:r>
        <w:rPr>
          <w:rFonts w:ascii="Times New Roman;serif" w:hAnsi="Times New Roman;serif"/>
          <w:b w:val="false"/>
          <w:color w:val="000000"/>
          <w:sz w:val="21"/>
        </w:rPr>
        <w:t>. I understand that “</w:t>
      </w:r>
      <w:r>
        <w:rPr>
          <w:rFonts w:ascii="Times New Roman;serif" w:hAnsi="Times New Roman;serif"/>
          <w:b/>
          <w:color w:val="000000"/>
          <w:sz w:val="21"/>
        </w:rPr>
        <w:t>Company Confidential Information</w:t>
      </w:r>
      <w:r>
        <w:rPr>
          <w:color w:val="000000"/>
        </w:rPr>
        <w:t xml:space="preserve">” </w:t>
      </w:r>
      <w:r>
        <w:rPr>
          <w:rFonts w:ascii="Times New Roman;serif" w:hAnsi="Times New Roman;serif"/>
          <w:b w:val="false"/>
          <w:color w:val="000000"/>
          <w:sz w:val="21"/>
        </w:rPr>
        <w:t>means information (including any and all combinations of individual items of information) that the Company has or will develop, acquire, create, compile, discover or own, that has value in or to the Company’s business which is not known to the general public and which the Company wishes to maintain as confidential. Company Confidential Information includes both information disclosed by the Company to me, and information developed or learned by me during the course of my employment with Company. Company Confidential Information also includes all information of which the unauthorized disclosure could be detrimental to the interests of Company, whether or not such information is identified as Company Confidential Information. By example, and without limitation, Company Confidential Information includes any and all non-public information that relates to the actual or anticipated business and/or products, research or development of the Company, or to the Company’s technical data, trade secrets, or know-how, including, but not limited to, research, product plans, or other information regarding the Company’s products or services and markets therefor, pricing information, profitability analyses, customer lists and customers (including, but not limited to, customers of the Company on which I called or with which I may become acquainted during the term of my employment), customer preferences, software, developments, inventions, discoveries, ideas, processes, formulas, technology, designs,</w:t>
      </w:r>
    </w:p>
    <w:p>
      <w:pPr>
        <w:pStyle w:val="TextBody"/>
        <w:bidi w:val="0"/>
        <w:ind w:left="0" w:right="0" w:firstLine="717"/>
        <w:jc w:val="both"/>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6480175" cy="175260"/>
                <wp:effectExtent l="0" t="0" r="0" b="0"/>
                <wp:wrapNone/>
                <wp:docPr id="251" name="Frame2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17"/>
        <w:jc w:val="both"/>
        <w:rPr/>
      </w:pPr>
      <w:r>
        <w:rPr/>
      </w:r>
    </w:p>
    <w:p>
      <w:pPr>
        <w:pStyle w:val="TextBody"/>
        <w:bidi w:val="0"/>
        <w:spacing w:lineRule="auto" w:line="288" w:before="82" w:after="283"/>
        <w:jc w:val="both"/>
        <w:rPr>
          <w:rFonts w:ascii="Times New Roman;serif" w:hAnsi="Times New Roman;serif"/>
          <w:b w:val="false"/>
          <w:color w:val="000000"/>
          <w:sz w:val="21"/>
        </w:rPr>
      </w:pPr>
      <w:r>
        <w:rPr>
          <w:rFonts w:ascii="Times New Roman;serif" w:hAnsi="Times New Roman;serif"/>
          <w:b w:val="false"/>
          <w:color w:val="000000"/>
          <w:sz w:val="21"/>
        </w:rPr>
        <w:t>drawings, engineering, hardware configuration information, marketing, finances, and other business information disclosed by the Company either directly or indirectly in writing, orally or by drawings or inspection of premises, parts, equipment, or other Company property. Notwithstanding the foregoing, Company Confidential Information shall not include any such information which I can establish (i) was publicly known or made generally available prior to the time of disclosure by Company to me; (ii) becomes publicly known or made generally available after disclosure by Company to me through no wrongful action or omission by me; or (iii) is in my rightful possession, without confidentiality obligations, at the time of disclosure by Company as shown by my then-contemporaneous written records; provided that any combination of individual items of information shall not be deemed to be within any of the foregoing exceptions merely because one or more of the individual items are within such exception, unless the combination as a whole is within such exception. I understand that nothing in this Agreement is intended to limit employees’ rights to discuss the terms, wages, and working conditions of their employment, as protected by applicable law.</w:t>
      </w:r>
    </w:p>
    <w:p>
      <w:pPr>
        <w:pStyle w:val="TextBody"/>
        <w:bidi w:val="0"/>
        <w:spacing w:before="0" w:after="0"/>
        <w:jc w:val="left"/>
        <w:rPr/>
      </w:pPr>
      <w:r>
        <w:rPr/>
      </w:r>
    </w:p>
    <w:p>
      <w:pPr>
        <w:pStyle w:val="TextBody"/>
        <w:bidi w:val="0"/>
        <w:spacing w:lineRule="auto" w:line="288" w:before="0" w:after="0"/>
        <w:ind w:left="0" w:right="0" w:firstLine="717"/>
        <w:jc w:val="both"/>
        <w:rPr/>
      </w:pPr>
      <w:r>
        <w:rPr>
          <w:rFonts w:ascii="Times New Roman;serif" w:hAnsi="Times New Roman;serif"/>
          <w:b w:val="false"/>
          <w:color w:val="000000"/>
          <w:sz w:val="21"/>
        </w:rPr>
        <w:t>B.</w:t>
      </w:r>
      <w:r>
        <w:rPr>
          <w:rFonts w:ascii="Times New Roman;serif" w:hAnsi="Times New Roman;serif"/>
          <w:b w:val="false"/>
          <w:i/>
          <w:color w:val="000000"/>
          <w:sz w:val="21"/>
        </w:rPr>
        <w:t>Nonuse and Nondisclosure</w:t>
      </w:r>
      <w:r>
        <w:rPr>
          <w:rFonts w:ascii="Times New Roman;serif" w:hAnsi="Times New Roman;serif"/>
          <w:b w:val="false"/>
          <w:color w:val="000000"/>
          <w:sz w:val="21"/>
        </w:rPr>
        <w:t>. I agree that during and after my employment with the Company, I will hold in the strictest confidence, and take all reasonable precautions to prevent any unauthorized use or disclosure of Company Confidential Information, and I will not (i) use the Company Confidential Information for any purpose whatsoever other than for the benefit of the Company in the course of my employment, or (ii) disclose the Company Confidential Information to any third party without the prior written authorization of the President, CEO, or the Board of Directors of the Company. Prior to disclosure when compelled by applicable law; I shall provide prior written notice to the President, CEO, and General Counsel of Figure (as applicable). I agree that I obtain no title to any Company Confidential Information, and that as between Company and myself, Figure retains all Company Confidential Information as the sole property of Figure I understand that my unauthorized use or disclosure of Company Confidential Information during my employment may lead to disciplinary action, up to and including immediate termination and legal action by the Company. I understand that my obligations under this Section 3.B shall continue after termination of my employment. I understand that I am required to return all Company Confidential Information to Figure when my employment ends.</w:t>
      </w:r>
    </w:p>
    <w:p>
      <w:pPr>
        <w:pStyle w:val="TextBody"/>
        <w:bidi w:val="0"/>
        <w:spacing w:lineRule="auto" w:line="288" w:before="241" w:after="283"/>
        <w:ind w:left="0" w:right="0" w:firstLine="717"/>
        <w:jc w:val="both"/>
        <w:rPr/>
      </w:pPr>
      <w:r>
        <w:rPr>
          <w:rFonts w:ascii="Times New Roman;serif" w:hAnsi="Times New Roman;serif"/>
          <w:b w:val="false"/>
          <w:color w:val="000000"/>
          <w:sz w:val="21"/>
        </w:rPr>
        <w:t>C.</w:t>
      </w:r>
      <w:r>
        <w:rPr>
          <w:rFonts w:ascii="Times New Roman;serif" w:hAnsi="Times New Roman;serif"/>
          <w:b w:val="false"/>
          <w:i/>
          <w:color w:val="000000"/>
          <w:sz w:val="21"/>
        </w:rPr>
        <w:t>Former Employer Confidential Information</w:t>
      </w:r>
      <w:r>
        <w:rPr>
          <w:rFonts w:ascii="Times New Roman;serif" w:hAnsi="Times New Roman;serif"/>
          <w:b w:val="false"/>
          <w:color w:val="000000"/>
          <w:sz w:val="21"/>
        </w:rPr>
        <w:t>. I agree that during my employment with the Company, I will not improperly use, disclose, or induce the Company to use any proprietary information or trade secrets of any former employer or other person or entity with which I have an obligation to keep in confidence. I further agree that I will not bring onto the Company’s premises or transfer onto the Company’s technology systems any unpublished document, proprietary information, or trade secrets belonging to any such third party unless disclosure to, and use by, the Company has been consented to in writing by such third party.</w:t>
      </w:r>
    </w:p>
    <w:p>
      <w:pPr>
        <w:pStyle w:val="TextBody"/>
        <w:bidi w:val="0"/>
        <w:spacing w:before="2" w:after="283"/>
        <w:jc w:val="left"/>
        <w:rPr/>
      </w:pPr>
      <w:r>
        <w:rPr/>
      </w:r>
    </w:p>
    <w:p>
      <w:pPr>
        <w:pStyle w:val="TextBody"/>
        <w:bidi w:val="0"/>
        <w:spacing w:lineRule="auto" w:line="288" w:before="0" w:after="0"/>
        <w:ind w:left="0" w:right="0" w:firstLine="717"/>
        <w:jc w:val="both"/>
        <w:rPr/>
      </w:pPr>
      <w:r>
        <w:rPr>
          <w:rFonts w:ascii="Times New Roman;serif" w:hAnsi="Times New Roman;serif"/>
          <w:b w:val="false"/>
          <w:color w:val="000000"/>
          <w:sz w:val="21"/>
        </w:rPr>
        <w:t>D.</w:t>
      </w:r>
      <w:r>
        <w:rPr>
          <w:rFonts w:ascii="Times New Roman;serif" w:hAnsi="Times New Roman;serif"/>
          <w:b w:val="false"/>
          <w:i/>
          <w:color w:val="000000"/>
          <w:sz w:val="21"/>
        </w:rPr>
        <w:t>Third Party Information</w:t>
      </w:r>
      <w:r>
        <w:rPr>
          <w:rFonts w:ascii="Times New Roman;serif" w:hAnsi="Times New Roman;serif"/>
          <w:b w:val="false"/>
          <w:color w:val="000000"/>
          <w:sz w:val="21"/>
        </w:rPr>
        <w:t>. I recognize that the Company has received and in the future will receive from third parties associated with the Company, e.g., the Company’s customers, suppliers, licensors, licensees, partners, or collaborators (“</w:t>
      </w:r>
      <w:r>
        <w:rPr>
          <w:rFonts w:ascii="Times New Roman;serif" w:hAnsi="Times New Roman;serif"/>
          <w:b/>
          <w:color w:val="000000"/>
          <w:sz w:val="21"/>
        </w:rPr>
        <w:t>Associated Third Parties</w:t>
      </w:r>
      <w:r>
        <w:rPr>
          <w:color w:val="000000"/>
        </w:rPr>
        <w:t>”</w:t>
      </w:r>
      <w:r>
        <w:rPr>
          <w:rFonts w:ascii="Times New Roman;serif" w:hAnsi="Times New Roman;serif"/>
          <w:b w:val="false"/>
          <w:color w:val="000000"/>
          <w:sz w:val="21"/>
        </w:rPr>
        <w:t>), their confidential or proprietary information (“</w:t>
      </w:r>
      <w:r>
        <w:rPr>
          <w:rFonts w:ascii="Times New Roman;serif" w:hAnsi="Times New Roman;serif"/>
          <w:b/>
          <w:color w:val="000000"/>
          <w:sz w:val="21"/>
        </w:rPr>
        <w:t>Associated Third Party Confidential Information</w:t>
      </w:r>
      <w:r>
        <w:rPr>
          <w:color w:val="000000"/>
        </w:rPr>
        <w:t>”</w:t>
      </w:r>
      <w:r>
        <w:rPr>
          <w:rFonts w:ascii="Times New Roman;serif" w:hAnsi="Times New Roman;serif"/>
          <w:b w:val="false"/>
          <w:color w:val="000000"/>
          <w:sz w:val="21"/>
        </w:rPr>
        <w:t>) subject to a duty on the Company’s part to maintain the confidentiality of such Associated Third Party Confidential Information and to use it only for certain limited purposes. By way of example, Associated Third Party Confidential Information may include the habits or practices of Associated Third Parties, the technology of Associated Third Parties, requirements of Associated Third Parties, and information related to the business conducted between the Company and such Associated Third Parties. I agree at all times during my employment with the Company and thereafter, that I owe the Company and its Associated Third Parties a duty to hold all such Associated Third Party Confidential Information in the strictest confidence, and not to use it or to disclose it to any person, firm, corporation, or other third party except as necessary in carrying out my work for the Company consistent with the Company’s agreement with such Associated Third Parties. I further agree to comply with any and all Company policies and guidelines that may be adopted from time to time regarding Associated Third Parties and Associated Third Party Confidential Information. I understand that my unauthorized use or disclosure of Associated Third Party Confidential Information or violation of any Company policies during my employment may lead to disciplinary action, up to and including immediate termination and legal action by the Company.</w:t>
      </w:r>
    </w:p>
    <w:p>
      <w:pPr>
        <w:pStyle w:val="TextBody"/>
        <w:bidi w:val="0"/>
        <w:spacing w:before="7" w:after="283"/>
        <w:jc w:val="left"/>
        <w:rPr/>
      </w:pPr>
      <w:r>
        <w:rPr/>
      </w:r>
    </w:p>
    <w:p>
      <w:pPr>
        <w:pStyle w:val="TextBody"/>
        <w:bidi w:val="0"/>
        <w:spacing w:lineRule="auto" w:line="288" w:before="0" w:after="0"/>
        <w:ind w:left="0" w:right="0" w:hanging="722"/>
        <w:jc w:val="left"/>
        <w:rPr/>
      </w:pPr>
      <w:r>
        <w:rPr>
          <w:rFonts w:ascii="Times New Roman;serif" w:hAnsi="Times New Roman;serif"/>
          <w:b w:val="false"/>
          <w:color w:val="000000"/>
          <w:sz w:val="21"/>
        </w:rPr>
        <w:t>4.</w:t>
      </w:r>
      <w:r>
        <w:rPr>
          <w:rFonts w:ascii="Times New Roman;serif" w:hAnsi="Times New Roman;serif"/>
          <w:b/>
          <w:color w:val="000000"/>
          <w:sz w:val="21"/>
          <w:u w:val="single"/>
        </w:rPr>
        <w:t>OWNERSHIP</w:t>
      </w:r>
    </w:p>
    <w:p>
      <w:pPr>
        <w:pStyle w:val="TextBody"/>
        <w:bidi w:val="0"/>
        <w:ind w:left="0" w:right="0" w:hanging="722"/>
        <w:jc w:val="left"/>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6480175" cy="175260"/>
                <wp:effectExtent l="0" t="0" r="0" b="0"/>
                <wp:wrapNone/>
                <wp:docPr id="252" name="Frame2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722"/>
        <w:jc w:val="left"/>
        <w:rPr/>
      </w:pPr>
      <w:r>
        <w:rPr/>
      </w:r>
    </w:p>
    <w:p>
      <w:pPr>
        <w:pStyle w:val="TextBody"/>
        <w:bidi w:val="0"/>
        <w:spacing w:lineRule="auto" w:line="288" w:before="82" w:after="283"/>
        <w:ind w:left="0" w:right="0" w:firstLine="717"/>
        <w:jc w:val="both"/>
        <w:rPr/>
      </w:pPr>
      <w:r>
        <w:rPr>
          <w:rFonts w:ascii="Times New Roman;serif" w:hAnsi="Times New Roman;serif"/>
          <w:b w:val="false"/>
          <w:color w:val="000000"/>
          <w:sz w:val="21"/>
        </w:rPr>
        <w:t>A.</w:t>
      </w:r>
      <w:r>
        <w:rPr>
          <w:rFonts w:ascii="Times New Roman;serif" w:hAnsi="Times New Roman;serif"/>
          <w:b w:val="false"/>
          <w:i/>
          <w:color w:val="000000"/>
          <w:sz w:val="21"/>
        </w:rPr>
        <w:t>Assignment of Inventions</w:t>
      </w:r>
      <w:r>
        <w:rPr>
          <w:rFonts w:ascii="Times New Roman;serif" w:hAnsi="Times New Roman;serif"/>
          <w:b w:val="false"/>
          <w:color w:val="000000"/>
          <w:sz w:val="21"/>
        </w:rPr>
        <w:t xml:space="preserve">. As between the Company and myself, I agree that all right, title, and interest in and to any and all copyrightable material, notes, records, drawings, designs, logos, inventions, improvements, developments, discoveries, ideas and trade secrets conceived, discovered, authored, invented, developed or reduced to practice by me, solely or in collaboration with others, during the period of time I am in the employ of the Company (including during my off-duty hours), or with the use of Company’s equipment, supplies, facilities, or Company Confidential Information, and any copyrights, patents, trade secrets, mask work rights or other intellectual property rights relating to the foregoing, except as provided in </w:t>
      </w:r>
      <w:r>
        <w:rPr>
          <w:rFonts w:ascii="Times New Roman;serif" w:hAnsi="Times New Roman;serif"/>
          <w:b/>
          <w:color w:val="000000"/>
          <w:sz w:val="21"/>
        </w:rPr>
        <w:t xml:space="preserve">Section 4.G </w:t>
      </w:r>
      <w:r>
        <w:rPr>
          <w:rFonts w:ascii="Times New Roman;serif" w:hAnsi="Times New Roman;serif"/>
          <w:b w:val="false"/>
          <w:color w:val="000000"/>
          <w:sz w:val="21"/>
        </w:rPr>
        <w:t>below (collectively, “</w:t>
      </w:r>
      <w:r>
        <w:rPr>
          <w:rFonts w:ascii="Times New Roman;serif" w:hAnsi="Times New Roman;serif"/>
          <w:b/>
          <w:color w:val="000000"/>
          <w:sz w:val="21"/>
        </w:rPr>
        <w:t>Inventions</w:t>
      </w:r>
      <w:r>
        <w:rPr>
          <w:color w:val="000000"/>
        </w:rPr>
        <w:t>”</w:t>
      </w:r>
      <w:r>
        <w:rPr>
          <w:rFonts w:ascii="Times New Roman;serif" w:hAnsi="Times New Roman;serif"/>
          <w:b w:val="false"/>
          <w:color w:val="000000"/>
          <w:sz w:val="21"/>
        </w:rPr>
        <w:t>), are the sole property of Figure I also agree to promptly make full written disclosure to Figure of any Inventions, and to deliver and assign and hereby irrevocably assign fully to Figure all of my right, title and interest in and to Inventions. I agree that this assignment includes a present conveyance to Figure of ownership of Inventions that are not yet in existence. I further acknowledge that all original works of authorship that are made by me (solely or jointly with others) within the scope of and during the period of my employment with the Company and that are protectable by copyright are “works made for hire,” as that term is defined in the United States Copyright Act. I understand and agree that the decision whether or not to commercialize or market any Inventions is within the Company’s sole discretion and for the Company’s sole benefit, and that no royalty or other consideration will be due to me as a result of the Company’s efforts to commercialize or market any such Inventions.</w:t>
      </w:r>
    </w:p>
    <w:p>
      <w:pPr>
        <w:pStyle w:val="TextBody"/>
        <w:bidi w:val="0"/>
        <w:spacing w:before="0" w:after="0"/>
        <w:jc w:val="left"/>
        <w:rPr/>
      </w:pPr>
      <w:r>
        <w:rPr/>
      </w:r>
    </w:p>
    <w:p>
      <w:pPr>
        <w:pStyle w:val="TextBody"/>
        <w:bidi w:val="0"/>
        <w:spacing w:lineRule="auto" w:line="288" w:before="1" w:after="283"/>
        <w:ind w:left="0" w:right="0" w:firstLine="717"/>
        <w:jc w:val="both"/>
        <w:rPr/>
      </w:pPr>
      <w:r>
        <w:rPr>
          <w:rFonts w:ascii="Times New Roman;serif" w:hAnsi="Times New Roman;serif"/>
          <w:b w:val="false"/>
          <w:color w:val="000000"/>
          <w:sz w:val="21"/>
        </w:rPr>
        <w:t>B.</w:t>
      </w:r>
      <w:r>
        <w:rPr>
          <w:rFonts w:ascii="Times New Roman;serif" w:hAnsi="Times New Roman;serif"/>
          <w:b w:val="false"/>
          <w:i/>
          <w:color w:val="000000"/>
          <w:sz w:val="21"/>
        </w:rPr>
        <w:t>Pre-Existing Materials</w:t>
      </w:r>
      <w:r>
        <w:rPr>
          <w:rFonts w:ascii="Times New Roman;serif" w:hAnsi="Times New Roman;serif"/>
          <w:b w:val="false"/>
          <w:color w:val="000000"/>
          <w:sz w:val="21"/>
        </w:rPr>
        <w:t>. I will inform Figure Technologies, Inc. in writing before incorporating any inventions, discoveries, ideas, original works of authorship, developments, improvements, trade secrets and other proprietary information or intellectual property rights owned by me or in which I have an interest prior to, or separate from, my employment with the Company, including, without limitation, any such inventions that are subject to California Labor Code Section 2870 (attached hereto as Exhibit B) (“</w:t>
      </w:r>
      <w:r>
        <w:rPr>
          <w:rFonts w:ascii="Times New Roman;serif" w:hAnsi="Times New Roman;serif"/>
          <w:b/>
          <w:color w:val="000000"/>
          <w:sz w:val="21"/>
        </w:rPr>
        <w:t>Prior Inventions</w:t>
      </w:r>
      <w:r>
        <w:rPr>
          <w:color w:val="000000"/>
        </w:rPr>
        <w:t>”</w:t>
      </w:r>
      <w:r>
        <w:rPr>
          <w:rFonts w:ascii="Times New Roman;serif" w:hAnsi="Times New Roman;serif"/>
          <w:b w:val="false"/>
          <w:color w:val="000000"/>
          <w:sz w:val="21"/>
        </w:rPr>
        <w:t>) into any Invention or otherwise utilizing any such Prior Invention in the course of my employment with the Company; and the Company is hereby granted a nonexclusive, royalty-free, perpetual, irrevocable, transferable worldwide license (with the right to grant and authorize sublicenses) to make, have made, use, import, offer for sale, sell, reproduce, distribute, modify, adapt, prepare derivative works of, display, perform, and otherwise exploit such Prior Inventions, without restriction, including, without limitation, as part of or in connection with such Invention, and to practice any method related thereto. I will not incorporate any inventions, discoveries, ideas, original works of authorship, developments, improvements, trade secrets and other proprietary information or intellectual property rights owned by any third party into any Invention without Figure’s prior written permission. I have attached hereto as Exhibit A, a list describing all Prior Inventions. I agree to complete and provide Exhibit A to Figure’s Director of People on or before my first day of employment at Figure. If I fail to submit Exhibit A to Figure, I represent and warrant that there are no such Prior Inventions. Furthermore, I represent and warrant that if any Prior Inventions are included on Exhibit A, they will not materially affect my ability to perform all obligations under this Agreement.</w:t>
      </w:r>
    </w:p>
    <w:p>
      <w:pPr>
        <w:pStyle w:val="TextBody"/>
        <w:bidi w:val="0"/>
        <w:spacing w:before="1" w:after="283"/>
        <w:jc w:val="left"/>
        <w:rPr/>
      </w:pPr>
      <w:r>
        <w:rPr/>
      </w:r>
    </w:p>
    <w:p>
      <w:pPr>
        <w:pStyle w:val="TextBody"/>
        <w:bidi w:val="0"/>
        <w:spacing w:lineRule="auto" w:line="288" w:before="0" w:after="0"/>
        <w:ind w:left="0" w:right="0" w:firstLine="717"/>
        <w:jc w:val="both"/>
        <w:rPr/>
      </w:pPr>
      <w:r>
        <w:rPr>
          <w:rFonts w:ascii="Times New Roman;serif" w:hAnsi="Times New Roman;serif"/>
          <w:b w:val="false"/>
          <w:color w:val="000000"/>
          <w:sz w:val="21"/>
        </w:rPr>
        <w:t>C.</w:t>
      </w:r>
      <w:r>
        <w:rPr>
          <w:rFonts w:ascii="Times New Roman;serif" w:hAnsi="Times New Roman;serif"/>
          <w:b w:val="false"/>
          <w:i/>
          <w:color w:val="000000"/>
          <w:sz w:val="21"/>
        </w:rPr>
        <w:t>Moral Rights</w:t>
      </w:r>
      <w:r>
        <w:rPr>
          <w:rFonts w:ascii="Times New Roman;serif" w:hAnsi="Times New Roman;serif"/>
          <w:b w:val="false"/>
          <w:color w:val="000000"/>
          <w:sz w:val="21"/>
        </w:rPr>
        <w:t>. Any assignment to Figure of Inventions includes all rights of attribution, paternity, integrity, modification, disclosure and withdrawal, and any other rights throughout the world that may be known as or referred to as “moral rights,” “artist’s rights,” “droit moral,” or the like (collectively, “Moral Rights”). To the extent that Moral Rights cannot be assigned under applicable law, I hereby waive and agree not to enforce any and all Moral Rights, including, without limitation, any limitation on subsequent modification, to the extent permitted under applicable law.</w:t>
      </w:r>
    </w:p>
    <w:p>
      <w:pPr>
        <w:pStyle w:val="TextBody"/>
        <w:bidi w:val="0"/>
        <w:spacing w:before="2" w:after="283"/>
        <w:jc w:val="left"/>
        <w:rPr/>
      </w:pPr>
      <w:r>
        <w:rPr/>
      </w:r>
    </w:p>
    <w:p>
      <w:pPr>
        <w:pStyle w:val="TextBody"/>
        <w:bidi w:val="0"/>
        <w:spacing w:lineRule="auto" w:line="288" w:before="0" w:after="0"/>
        <w:ind w:left="0" w:right="0" w:firstLine="717"/>
        <w:jc w:val="both"/>
        <w:rPr/>
      </w:pPr>
      <w:r>
        <w:rPr>
          <w:rFonts w:ascii="Times New Roman;serif" w:hAnsi="Times New Roman;serif"/>
          <w:b w:val="false"/>
          <w:color w:val="000000"/>
          <w:sz w:val="21"/>
        </w:rPr>
        <w:t>D.</w:t>
      </w:r>
      <w:r>
        <w:rPr>
          <w:rFonts w:ascii="Times New Roman;serif" w:hAnsi="Times New Roman;serif"/>
          <w:b w:val="false"/>
          <w:i/>
          <w:color w:val="000000"/>
          <w:sz w:val="21"/>
        </w:rPr>
        <w:t>Maintenance of Records</w:t>
      </w:r>
      <w:r>
        <w:rPr>
          <w:rFonts w:ascii="Times New Roman;serif" w:hAnsi="Times New Roman;serif"/>
          <w:b w:val="false"/>
          <w:color w:val="000000"/>
          <w:sz w:val="21"/>
        </w:rPr>
        <w:t>. I agree to keep and maintain adequate, current, accurate, and authentic written records of all Inventions made by me (solely or jointly with others) during the term of my employment with the Company. The records will be in the form of notes, sketches, drawings, electronic files, reports, or any other format that may be specified by the Company. As between Company and myself, the records are and will be available to and remain the sole property of Figure at all times.</w:t>
      </w:r>
    </w:p>
    <w:p>
      <w:pPr>
        <w:pStyle w:val="TextBody"/>
        <w:bidi w:val="0"/>
        <w:spacing w:lineRule="auto" w:line="288" w:before="240" w:after="283"/>
        <w:ind w:left="0" w:right="0" w:firstLine="717"/>
        <w:jc w:val="both"/>
        <w:rPr/>
      </w:pPr>
      <w:r>
        <w:rPr>
          <w:rFonts w:ascii="Times New Roman;serif" w:hAnsi="Times New Roman;serif"/>
          <w:b w:val="false"/>
          <w:color w:val="000000"/>
          <w:sz w:val="21"/>
        </w:rPr>
        <w:t>E.</w:t>
      </w:r>
      <w:r>
        <w:rPr>
          <w:rFonts w:ascii="Times New Roman;serif" w:hAnsi="Times New Roman;serif"/>
          <w:b w:val="false"/>
          <w:i/>
          <w:color w:val="000000"/>
          <w:sz w:val="21"/>
        </w:rPr>
        <w:t xml:space="preserve">Further Assurances. </w:t>
      </w:r>
      <w:r>
        <w:rPr>
          <w:rFonts w:ascii="Times New Roman;serif" w:hAnsi="Times New Roman;serif"/>
          <w:b w:val="false"/>
          <w:color w:val="000000"/>
          <w:sz w:val="21"/>
        </w:rPr>
        <w:t>I agree to assist the Company, or its designee, at the Company’s expense, in every proper way to secure the Company’s rights in the Inventions in any and all countries, including the disclosure to the Company of all pertinent information and data with respect thereto, the execution of all</w:t>
      </w:r>
    </w:p>
    <w:p>
      <w:pPr>
        <w:pStyle w:val="TextBody"/>
        <w:bidi w:val="0"/>
        <w:ind w:left="0" w:right="0" w:firstLine="717"/>
        <w:jc w:val="both"/>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6480175" cy="175260"/>
                <wp:effectExtent l="0" t="0" r="0" b="0"/>
                <wp:wrapNone/>
                <wp:docPr id="253" name="Frame2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17"/>
        <w:jc w:val="both"/>
        <w:rPr/>
      </w:pPr>
      <w:r>
        <w:rPr/>
      </w:r>
    </w:p>
    <w:p>
      <w:pPr>
        <w:pStyle w:val="TextBody"/>
        <w:bidi w:val="0"/>
        <w:spacing w:lineRule="auto" w:line="288" w:before="82" w:after="283"/>
        <w:jc w:val="both"/>
        <w:rPr/>
      </w:pPr>
      <w:r>
        <w:rPr>
          <w:rFonts w:ascii="Times New Roman;serif" w:hAnsi="Times New Roman;serif"/>
          <w:b w:val="false"/>
          <w:color w:val="000000"/>
          <w:sz w:val="21"/>
        </w:rPr>
        <w:t xml:space="preserve">applications, specifications, oaths, assignments, and all other instruments that the Company shall deem proper or necessary in order to apply for, register, obtain, maintain, defend, and enforce such rights, and in order to deliver, assign and convey to the Company, its successors, assigns, and nominees the sole and exclusive rights, title, and interest in and to all Inventions, and testifying in a suit or other proceeding relating to such Inventions. I further agree that my obligations under this </w:t>
      </w:r>
      <w:r>
        <w:rPr>
          <w:rFonts w:ascii="Times New Roman;serif" w:hAnsi="Times New Roman;serif"/>
          <w:b/>
          <w:color w:val="000000"/>
          <w:sz w:val="21"/>
        </w:rPr>
        <w:t xml:space="preserve">Section 4.E </w:t>
      </w:r>
      <w:r>
        <w:rPr>
          <w:rFonts w:ascii="Times New Roman;serif" w:hAnsi="Times New Roman;serif"/>
          <w:b w:val="false"/>
          <w:color w:val="000000"/>
          <w:sz w:val="21"/>
        </w:rPr>
        <w:t>shall continue after the termination of this Agreement.</w:t>
      </w:r>
    </w:p>
    <w:p>
      <w:pPr>
        <w:pStyle w:val="TextBody"/>
        <w:bidi w:val="0"/>
        <w:spacing w:lineRule="auto" w:line="288" w:before="240" w:after="283"/>
        <w:ind w:left="0" w:right="0" w:firstLine="717"/>
        <w:jc w:val="both"/>
        <w:rPr/>
      </w:pPr>
      <w:r>
        <w:rPr>
          <w:rFonts w:ascii="Times New Roman;serif" w:hAnsi="Times New Roman;serif"/>
          <w:b w:val="false"/>
          <w:color w:val="000000"/>
          <w:sz w:val="21"/>
        </w:rPr>
        <w:t>F.</w:t>
      </w:r>
      <w:r>
        <w:rPr>
          <w:rFonts w:ascii="Times New Roman;serif" w:hAnsi="Times New Roman;serif"/>
          <w:b w:val="false"/>
          <w:i/>
          <w:color w:val="000000"/>
          <w:sz w:val="21"/>
        </w:rPr>
        <w:t>Attorney-in-Fact</w:t>
      </w:r>
      <w:r>
        <w:rPr>
          <w:rFonts w:ascii="Times New Roman;serif" w:hAnsi="Times New Roman;serif"/>
          <w:b w:val="false"/>
          <w:color w:val="000000"/>
          <w:sz w:val="21"/>
        </w:rPr>
        <w:t xml:space="preserve">. I agree that, if the Company is unable because of my unavailability, mental or physical incapacity, or for any other reason to secure my signature with respect to any Inventions, including, without limitation, for the purpose of applying for or pursuing any application for any United States or foreign patents or mask work or copyright registrations covering the Inventions assigned to Figure in </w:t>
      </w:r>
      <w:r>
        <w:rPr>
          <w:rFonts w:ascii="Times New Roman;serif" w:hAnsi="Times New Roman;serif"/>
          <w:b/>
          <w:color w:val="000000"/>
          <w:sz w:val="21"/>
        </w:rPr>
        <w:t>Section 4.A</w:t>
      </w:r>
      <w:r>
        <w:rPr>
          <w:rFonts w:ascii="Times New Roman;serif" w:hAnsi="Times New Roman;serif"/>
          <w:b w:val="false"/>
          <w:color w:val="000000"/>
          <w:sz w:val="21"/>
        </w:rPr>
        <w:t>, then I hereby irrevocably designate and appoint the Company and its duly authorized officers and agents as my agent and attorney-in-fact, to act for and on my behalf to execute and file any papers and oaths, and to do all other lawfully permitted acts with respect to such Inventions to further the prosecution and issuance of patents, copyright and mask work registrations with the same legal force and effect as if executed by me. This power of attorney shall be deemed coupled with an interest, and shall be irrevocable.</w:t>
      </w:r>
    </w:p>
    <w:p>
      <w:pPr>
        <w:pStyle w:val="TextBody"/>
        <w:bidi w:val="0"/>
        <w:spacing w:before="0" w:after="0"/>
        <w:jc w:val="left"/>
        <w:rPr/>
      </w:pPr>
      <w:r>
        <w:rPr/>
      </w:r>
    </w:p>
    <w:p>
      <w:pPr>
        <w:pStyle w:val="TextBody"/>
        <w:bidi w:val="0"/>
        <w:spacing w:lineRule="auto" w:line="288" w:before="0" w:after="0"/>
        <w:ind w:left="0" w:right="0" w:firstLine="717"/>
        <w:jc w:val="both"/>
        <w:rPr/>
      </w:pPr>
      <w:r>
        <w:rPr>
          <w:rFonts w:ascii="Times New Roman;serif" w:hAnsi="Times New Roman;serif"/>
          <w:b w:val="false"/>
          <w:color w:val="000000"/>
          <w:sz w:val="21"/>
        </w:rPr>
        <w:t>G.</w:t>
      </w:r>
      <w:r>
        <w:rPr>
          <w:rFonts w:ascii="Times New Roman;serif" w:hAnsi="Times New Roman;serif"/>
          <w:b w:val="false"/>
          <w:i/>
          <w:color w:val="000000"/>
          <w:sz w:val="21"/>
        </w:rPr>
        <w:t>Exception to Assignments</w:t>
      </w:r>
      <w:r>
        <w:rPr>
          <w:rFonts w:ascii="Times New Roman;serif" w:hAnsi="Times New Roman;serif"/>
          <w:b w:val="false"/>
          <w:color w:val="000000"/>
          <w:sz w:val="21"/>
        </w:rPr>
        <w:t>. I UNDERSTAND THAT THE PROVISIONS OF THIS AGREEMENT REQUIRING ASSIGNMENT OF INVENTIONS (AS DEFINED UNDER SECTION 4.A ABOVE) TO FIGURE DO NOT APPLY TO ANY INVENTION THAT QUALIFIES FULLY UNDER THE PROVISIONS OF CALIFORNIA LABOR CODE SECTION 2870 (ATTACHED HERETO AS EXHIBIT B). I WILL ADVISE FIGURE PROMPTLY IN WRITING OF ANY INVENTIONS THAT I BELIEVE MEET THE CRITERIA IN CALIFORNIA LABOR CODE SECTION 2870 AND ARE NOT OTHERWISE DISCLOSED ON EXHIBIT A TO PERMIT A DETERMINATION OF OWNERSHIP BY THE COMPANY. ANY SUCH DISCLOSURE WILL BE RECEIVED IN CONFIDENCE.</w:t>
      </w:r>
    </w:p>
    <w:p>
      <w:pPr>
        <w:pStyle w:val="TextBody"/>
        <w:bidi w:val="0"/>
        <w:spacing w:before="6" w:after="283"/>
        <w:jc w:val="left"/>
        <w:rPr/>
      </w:pPr>
      <w:r>
        <w:rPr/>
      </w:r>
    </w:p>
    <w:p>
      <w:pPr>
        <w:pStyle w:val="TextBody"/>
        <w:bidi w:val="0"/>
        <w:spacing w:lineRule="auto" w:line="288" w:before="0" w:after="0"/>
        <w:ind w:left="0" w:right="0" w:hanging="722"/>
        <w:jc w:val="left"/>
        <w:rPr/>
      </w:pPr>
      <w:r>
        <w:rPr>
          <w:rFonts w:ascii="Times New Roman;serif" w:hAnsi="Times New Roman;serif"/>
          <w:b w:val="false"/>
          <w:color w:val="000000"/>
          <w:sz w:val="21"/>
        </w:rPr>
        <w:t>5.</w:t>
      </w:r>
      <w:r>
        <w:rPr>
          <w:rFonts w:ascii="Times New Roman;serif" w:hAnsi="Times New Roman;serif"/>
          <w:b/>
          <w:color w:val="000000"/>
          <w:sz w:val="21"/>
          <w:u w:val="single"/>
        </w:rPr>
        <w:t>CONFLICTING OBLIGATIONS</w:t>
      </w:r>
    </w:p>
    <w:p>
      <w:pPr>
        <w:pStyle w:val="TextBody"/>
        <w:bidi w:val="0"/>
        <w:spacing w:lineRule="auto" w:line="288" w:before="236" w:after="283"/>
        <w:ind w:left="0" w:right="0" w:firstLine="717"/>
        <w:jc w:val="both"/>
        <w:rPr/>
      </w:pPr>
      <w:r>
        <w:rPr>
          <w:rFonts w:ascii="Times New Roman;serif" w:hAnsi="Times New Roman;serif"/>
          <w:b w:val="false"/>
          <w:color w:val="000000"/>
          <w:sz w:val="21"/>
        </w:rPr>
        <w:t>A.</w:t>
      </w:r>
      <w:r>
        <w:rPr>
          <w:rFonts w:ascii="Times New Roman;serif" w:hAnsi="Times New Roman;serif"/>
          <w:b w:val="false"/>
          <w:i/>
          <w:color w:val="000000"/>
          <w:sz w:val="21"/>
        </w:rPr>
        <w:t>Current Obligations</w:t>
      </w:r>
      <w:r>
        <w:rPr>
          <w:rFonts w:ascii="Times New Roman;serif" w:hAnsi="Times New Roman;serif"/>
          <w:b w:val="false"/>
          <w:color w:val="000000"/>
          <w:sz w:val="21"/>
        </w:rPr>
        <w:t>. I agree that during the term of my employment with the Company, I will not engage in or undertake any other employment, occupation, consulting relationship, or commitment that is directly related to the business in which the Company is now involved or becomes involved or has plans to become involved, nor will I engage in any other activities that conflict with my obligations to the Company.</w:t>
      </w:r>
    </w:p>
    <w:p>
      <w:pPr>
        <w:pStyle w:val="TextBody"/>
        <w:bidi w:val="0"/>
        <w:spacing w:before="0" w:after="0"/>
        <w:jc w:val="left"/>
        <w:rPr/>
      </w:pPr>
      <w:r>
        <w:rPr/>
      </w:r>
    </w:p>
    <w:p>
      <w:pPr>
        <w:pStyle w:val="TextBody"/>
        <w:bidi w:val="0"/>
        <w:spacing w:lineRule="auto" w:line="288" w:before="0" w:after="0"/>
        <w:ind w:left="0" w:right="0" w:firstLine="717"/>
        <w:jc w:val="both"/>
        <w:rPr/>
      </w:pPr>
      <w:r>
        <w:rPr>
          <w:rFonts w:ascii="Times New Roman;serif" w:hAnsi="Times New Roman;serif"/>
          <w:b w:val="false"/>
          <w:color w:val="000000"/>
          <w:sz w:val="21"/>
        </w:rPr>
        <w:t>B.</w:t>
      </w:r>
      <w:r>
        <w:rPr>
          <w:rFonts w:ascii="Times New Roman;serif" w:hAnsi="Times New Roman;serif"/>
          <w:b w:val="false"/>
          <w:i/>
          <w:color w:val="000000"/>
          <w:sz w:val="21"/>
        </w:rPr>
        <w:t>Prior Relationships</w:t>
      </w:r>
      <w:r>
        <w:rPr>
          <w:rFonts w:ascii="Times New Roman;serif" w:hAnsi="Times New Roman;serif"/>
          <w:b w:val="false"/>
          <w:color w:val="000000"/>
          <w:sz w:val="21"/>
        </w:rPr>
        <w:t xml:space="preserve">. Without limiting </w:t>
      </w:r>
      <w:r>
        <w:rPr>
          <w:rFonts w:ascii="Times New Roman;serif" w:hAnsi="Times New Roman;serif"/>
          <w:b/>
          <w:color w:val="000000"/>
          <w:sz w:val="21"/>
        </w:rPr>
        <w:t>Section 5.A</w:t>
      </w:r>
      <w:r>
        <w:rPr>
          <w:rFonts w:ascii="Times New Roman;serif" w:hAnsi="Times New Roman;serif"/>
          <w:b w:val="false"/>
          <w:color w:val="000000"/>
          <w:sz w:val="21"/>
        </w:rPr>
        <w:t>, I represent and warrant that I have no other agreements, relationships, or commitments to any other person or entity that conflict with the provisions of this Agreement, my obligations to the Company under this Agreement, or my ability to become employed and perform the services for which I am being hired by the Company. I further agree that if I have signed a confidentiality agreement or similar type of agreement with any former employer or other entity, I will comply with the terms of any such agreement to the extent that its terms are lawful under applicable law. I represent and warrant that after undertaking a careful search (including searches of my computers, cell phones, electronic devices, and documents), I have returned all property and confidential information belonging to all prior employers (and/or other third parties I have performed services for in accordance with the terms of my applicable agreement) before my first day of employment with Figure. Moreover, I agree to fully indemnify the Company, its directors, officers, agents, employees, investors, stockholders, administrators, affiliates, divisions, subsidiaries, predecessor and successor corporations, and assigns for all verdicts, judgments, settlements, and other losses incurred by any of them resulting from my breach of my obligations under any agreement with a third party to which I am a party or obligation to which I am bound, as well as any reasonable attorneys’ fees and costs if the plaintiff is the prevailing party in such an action, except as prohibited by law.</w:t>
      </w:r>
    </w:p>
    <w:p>
      <w:pPr>
        <w:pStyle w:val="TextBody"/>
        <w:bidi w:val="0"/>
        <w:spacing w:before="8" w:after="283"/>
        <w:jc w:val="left"/>
        <w:rPr/>
      </w:pPr>
      <w:r>
        <w:rPr/>
      </w:r>
    </w:p>
    <w:p>
      <w:pPr>
        <w:pStyle w:val="TextBody"/>
        <w:bidi w:val="0"/>
        <w:spacing w:lineRule="auto" w:line="288" w:before="1" w:after="283"/>
        <w:ind w:left="0" w:right="0" w:hanging="722"/>
        <w:jc w:val="left"/>
        <w:rPr/>
      </w:pPr>
      <w:r>
        <w:rPr>
          <w:rFonts w:ascii="Times New Roman;serif" w:hAnsi="Times New Roman;serif"/>
          <w:b w:val="false"/>
          <w:color w:val="000000"/>
          <w:sz w:val="21"/>
        </w:rPr>
        <w:t>6.</w:t>
      </w:r>
      <w:r>
        <w:rPr>
          <w:rFonts w:ascii="Times New Roman;serif" w:hAnsi="Times New Roman;serif"/>
          <w:b/>
          <w:color w:val="000000"/>
          <w:sz w:val="21"/>
          <w:u w:val="single"/>
        </w:rPr>
        <w:t>RETURN OF COMPANY MATERIALS</w:t>
      </w:r>
    </w:p>
    <w:p>
      <w:pPr>
        <w:pStyle w:val="TextBody"/>
        <w:bidi w:val="0"/>
        <w:spacing w:lineRule="auto" w:line="288" w:before="236" w:after="283"/>
        <w:ind w:left="0" w:right="0" w:firstLine="717"/>
        <w:jc w:val="both"/>
        <w:rPr/>
      </w:pPr>
      <w:r>
        <w:rPr>
          <w:rFonts w:ascii="Times New Roman;serif" w:hAnsi="Times New Roman;serif"/>
          <w:b w:val="false"/>
          <w:color w:val="000000"/>
          <w:sz w:val="21"/>
        </w:rPr>
        <w:t>A.Definition of Electronic Media Equipment and Electronic Media Systems. I understand that “</w:t>
      </w:r>
      <w:r>
        <w:rPr>
          <w:rFonts w:ascii="Times New Roman;serif" w:hAnsi="Times New Roman;serif"/>
          <w:b/>
          <w:color w:val="000000"/>
          <w:sz w:val="21"/>
        </w:rPr>
        <w:t>Electronic Media Equipment</w:t>
      </w:r>
      <w:r>
        <w:rPr>
          <w:color w:val="000000"/>
        </w:rPr>
        <w:t xml:space="preserve">” </w:t>
      </w:r>
      <w:r>
        <w:rPr>
          <w:rFonts w:ascii="Times New Roman;serif" w:hAnsi="Times New Roman;serif"/>
          <w:b w:val="false"/>
          <w:color w:val="000000"/>
          <w:sz w:val="21"/>
        </w:rPr>
        <w:t>includes, but is not limited to, computers, external storage devices, thumb drives, handheld electronic devices, telephone equipment, and other electronic media devices. I understand that</w:t>
      </w:r>
    </w:p>
    <w:p>
      <w:pPr>
        <w:pStyle w:val="TextBody"/>
        <w:bidi w:val="0"/>
        <w:ind w:left="0" w:right="0" w:firstLine="717"/>
        <w:jc w:val="both"/>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6480175" cy="175260"/>
                <wp:effectExtent l="0" t="0" r="0" b="0"/>
                <wp:wrapNone/>
                <wp:docPr id="254" name="Frame2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17"/>
        <w:jc w:val="both"/>
        <w:rPr/>
      </w:pPr>
      <w:r>
        <w:rPr/>
      </w:r>
    </w:p>
    <w:p>
      <w:pPr>
        <w:pStyle w:val="TextBody"/>
        <w:bidi w:val="0"/>
        <w:spacing w:lineRule="auto" w:line="288" w:before="82" w:after="283"/>
        <w:jc w:val="both"/>
        <w:rPr/>
      </w:pPr>
      <w:r>
        <w:rPr>
          <w:color w:val="000000"/>
        </w:rPr>
        <w:t>“</w:t>
      </w:r>
      <w:r>
        <w:rPr>
          <w:rFonts w:ascii="Times New Roman;serif" w:hAnsi="Times New Roman;serif"/>
          <w:b/>
          <w:color w:val="000000"/>
          <w:sz w:val="21"/>
        </w:rPr>
        <w:t>Electronic Media Systems</w:t>
      </w:r>
      <w:r>
        <w:rPr>
          <w:color w:val="000000"/>
        </w:rPr>
        <w:t xml:space="preserve">” </w:t>
      </w:r>
      <w:r>
        <w:rPr>
          <w:rFonts w:ascii="Times New Roman;serif" w:hAnsi="Times New Roman;serif"/>
          <w:b w:val="false"/>
          <w:color w:val="000000"/>
          <w:sz w:val="21"/>
        </w:rPr>
        <w:t>includes, but is not limited to, computer servers, messaging and email systems or accounts, and web-based services (including cloud-based information storage accounts), whether provided for my use directly by the Company or by third-party providers on behalf of the Company.</w:t>
      </w:r>
    </w:p>
    <w:p>
      <w:pPr>
        <w:pStyle w:val="TextBody"/>
        <w:bidi w:val="0"/>
        <w:spacing w:lineRule="auto" w:line="288" w:before="241" w:after="283"/>
        <w:ind w:left="0" w:right="0" w:firstLine="717"/>
        <w:jc w:val="both"/>
        <w:rPr/>
      </w:pPr>
      <w:r>
        <w:rPr>
          <w:rFonts w:ascii="Times New Roman;serif" w:hAnsi="Times New Roman;serif"/>
          <w:b w:val="false"/>
          <w:color w:val="000000"/>
          <w:sz w:val="21"/>
        </w:rPr>
        <w:t>B.</w:t>
      </w:r>
      <w:r>
        <w:rPr>
          <w:rFonts w:ascii="Times New Roman;serif" w:hAnsi="Times New Roman;serif"/>
          <w:b w:val="false"/>
          <w:i/>
          <w:color w:val="000000"/>
          <w:sz w:val="21"/>
        </w:rPr>
        <w:t>Return of Company Property</w:t>
      </w:r>
      <w:r>
        <w:rPr>
          <w:rFonts w:ascii="Times New Roman;serif" w:hAnsi="Times New Roman;serif"/>
          <w:b w:val="false"/>
          <w:color w:val="000000"/>
          <w:sz w:val="21"/>
        </w:rPr>
        <w:t xml:space="preserve">. I understand that anything that I created or worked on for the Company while working for the Company belongs solely to the Company and that I cannot remove, retain, or use such information without the Company’s express written permission. Accordingly, upon separation from employment with the Company or upon the Company’s request at any other time, I will immediately deliver to Figure and will not keep in my possession, recreate, or deliver to anyone else, any and all Company property, including, but not limited to, Company Confidential Information, Associated Third Party Confidential Information, all Company equipment including all Company Electronic Media Equipment, all tangible embodiments of the Inventions, all electronically stored information and passwords to access such property, Company credit cards, records, data, notes, notebooks, reports, files, proposals, lists, correspondence, specifications, drawings, blueprints, sketches, materials, photographs, charts, any other documents and property, and reproductions of any of the foregoing items, including, without limitation, those records maintained pursuant to </w:t>
      </w:r>
      <w:r>
        <w:rPr>
          <w:rFonts w:ascii="Times New Roman;serif" w:hAnsi="Times New Roman;serif"/>
          <w:b/>
          <w:color w:val="000000"/>
          <w:sz w:val="21"/>
        </w:rPr>
        <w:t>Section 4.D</w:t>
      </w:r>
      <w:r>
        <w:rPr>
          <w:rFonts w:ascii="Times New Roman;serif" w:hAnsi="Times New Roman;serif"/>
          <w:b w:val="false"/>
          <w:color w:val="000000"/>
          <w:sz w:val="21"/>
        </w:rPr>
        <w:t>.</w:t>
      </w:r>
    </w:p>
    <w:p>
      <w:pPr>
        <w:pStyle w:val="TextBody"/>
        <w:bidi w:val="0"/>
        <w:spacing w:before="0" w:after="0"/>
        <w:jc w:val="left"/>
        <w:rPr/>
      </w:pPr>
      <w:r>
        <w:rPr/>
      </w:r>
    </w:p>
    <w:p>
      <w:pPr>
        <w:pStyle w:val="TextBody"/>
        <w:bidi w:val="0"/>
        <w:spacing w:lineRule="auto" w:line="288" w:before="0" w:after="0"/>
        <w:ind w:left="0" w:right="0" w:firstLine="717"/>
        <w:jc w:val="both"/>
        <w:rPr/>
      </w:pPr>
      <w:r>
        <w:rPr>
          <w:rFonts w:ascii="Times New Roman;serif" w:hAnsi="Times New Roman;serif"/>
          <w:b w:val="false"/>
          <w:color w:val="000000"/>
          <w:sz w:val="21"/>
        </w:rPr>
        <w:t>C.</w:t>
      </w:r>
      <w:r>
        <w:rPr>
          <w:rFonts w:ascii="Times New Roman;serif" w:hAnsi="Times New Roman;serif"/>
          <w:b w:val="false"/>
          <w:i/>
          <w:color w:val="000000"/>
          <w:sz w:val="21"/>
        </w:rPr>
        <w:t>Return of Company Information on Company Electronic Media Equipment</w:t>
      </w:r>
      <w:r>
        <w:rPr>
          <w:rFonts w:ascii="Times New Roman;serif" w:hAnsi="Times New Roman;serif"/>
          <w:b w:val="false"/>
          <w:color w:val="000000"/>
          <w:sz w:val="21"/>
        </w:rPr>
        <w:t>. In connection with my obligation to return information to the Company, I agree that I will not copy, delete, or alter any information, including personal information voluntarily created or stored, contained upon my Company Electronic Media Equipment before I return the information to the Company.</w:t>
      </w:r>
    </w:p>
    <w:p>
      <w:pPr>
        <w:pStyle w:val="TextBody"/>
        <w:bidi w:val="0"/>
        <w:spacing w:before="0" w:after="0"/>
        <w:jc w:val="left"/>
        <w:rPr/>
      </w:pPr>
      <w:r>
        <w:rPr/>
      </w:r>
    </w:p>
    <w:p>
      <w:pPr>
        <w:pStyle w:val="TextBody"/>
        <w:bidi w:val="0"/>
        <w:spacing w:lineRule="auto" w:line="288" w:before="0" w:after="0"/>
        <w:ind w:left="0" w:right="0" w:firstLine="717"/>
        <w:jc w:val="both"/>
        <w:rPr/>
      </w:pPr>
      <w:r>
        <w:rPr>
          <w:rFonts w:ascii="Times New Roman;serif" w:hAnsi="Times New Roman;serif"/>
          <w:b w:val="false"/>
          <w:color w:val="000000"/>
          <w:sz w:val="21"/>
        </w:rPr>
        <w:t>D.</w:t>
      </w:r>
      <w:r>
        <w:rPr>
          <w:rFonts w:ascii="Times New Roman;serif" w:hAnsi="Times New Roman;serif"/>
          <w:b w:val="false"/>
          <w:i/>
          <w:color w:val="000000"/>
          <w:sz w:val="21"/>
        </w:rPr>
        <w:t>Return of Company Information on Personal Electronic Media Equipment</w:t>
      </w:r>
      <w:r>
        <w:rPr>
          <w:rFonts w:ascii="Times New Roman;serif" w:hAnsi="Times New Roman;serif"/>
          <w:b w:val="false"/>
          <w:color w:val="000000"/>
          <w:sz w:val="21"/>
        </w:rPr>
        <w:t>. In addition, if I have used any personal Electronic Media Equipment or personal Electronic Media Systems to create, receive, store, review, prepare or transmit any Company information, including but not limited to, Company Confidential Information, I agree to make a prompt and reasonable search for such information in good faith, including reviewing any personal Electronic Media Equipment or personal Electronic Media Systems to locate such information and if I locate such information I agree to notify the Company of that fact and then provide the Company with a computer-useable copy of all such Company information from those equipment and systems; and I agree to cooperate reasonably with the Company to verify that the necessary copying is completed (including upon request providing a sworn declaration confirming the return of property and deletion of information), and, upon confirmation of compliance by the Company, I agree to delete and expunge all Company information.</w:t>
      </w:r>
    </w:p>
    <w:p>
      <w:pPr>
        <w:pStyle w:val="TextBody"/>
        <w:bidi w:val="0"/>
        <w:spacing w:before="2" w:after="283"/>
        <w:jc w:val="left"/>
        <w:rPr/>
      </w:pPr>
      <w:r>
        <w:rPr/>
      </w:r>
    </w:p>
    <w:p>
      <w:pPr>
        <w:pStyle w:val="TextBody"/>
        <w:bidi w:val="0"/>
        <w:spacing w:lineRule="auto" w:line="288" w:before="0" w:after="0"/>
        <w:ind w:left="0" w:right="0" w:firstLine="717"/>
        <w:jc w:val="both"/>
        <w:rPr/>
      </w:pPr>
      <w:r>
        <w:rPr>
          <w:rFonts w:ascii="Times New Roman;serif" w:hAnsi="Times New Roman;serif"/>
          <w:b w:val="false"/>
          <w:color w:val="000000"/>
          <w:sz w:val="21"/>
        </w:rPr>
        <w:t>E.</w:t>
      </w:r>
      <w:r>
        <w:rPr>
          <w:rFonts w:ascii="Times New Roman;serif" w:hAnsi="Times New Roman;serif"/>
          <w:b w:val="false"/>
          <w:i/>
          <w:color w:val="000000"/>
          <w:sz w:val="21"/>
        </w:rPr>
        <w:t>No Expectation of Privacy in Company Property</w:t>
      </w:r>
      <w:r>
        <w:rPr>
          <w:rFonts w:ascii="Times New Roman;serif" w:hAnsi="Times New Roman;serif"/>
          <w:b w:val="false"/>
          <w:color w:val="000000"/>
          <w:sz w:val="21"/>
        </w:rPr>
        <w:t>. I understand that I have no expectation of privacy in Company property, and I agree that any Company property situated on Company premises, or held by third-party providers for the benefit of the Company, is subject to inspection by Company personnel at any time with or without further notice. I also understand and agree that as it relates to the Company’s desire to protect its confidential and proprietary information, I have no expectation of privacy as to any personal Electronic Media Equipment or personal Electronic Media Systems that I have used for Company purposes. I further agree that the Company, at its sole discretion, may have access to such personal Electronic Media Equipment or personal Electronic Media Systems to retrieve, destroy, or ensure the permanent deletion of Company information from such equipment or systems. I also consent to an exit interview and an audit to confirm my compliance with this Section 6, and I will certify in writing that I have complied with the requirements of this Section 6.</w:t>
      </w:r>
    </w:p>
    <w:p>
      <w:pPr>
        <w:pStyle w:val="TextBody"/>
        <w:bidi w:val="0"/>
        <w:spacing w:before="6" w:after="283"/>
        <w:jc w:val="left"/>
        <w:rPr/>
      </w:pPr>
      <w:r>
        <w:rPr/>
      </w:r>
    </w:p>
    <w:p>
      <w:pPr>
        <w:pStyle w:val="TextBody"/>
        <w:bidi w:val="0"/>
        <w:spacing w:lineRule="atLeast" w:line="240" w:before="1" w:after="283"/>
        <w:ind w:left="0" w:right="0" w:hanging="722"/>
        <w:jc w:val="left"/>
        <w:rPr/>
      </w:pPr>
      <w:r>
        <w:rPr>
          <w:rFonts w:ascii="Times New Roman;serif" w:hAnsi="Times New Roman;serif"/>
          <w:b w:val="false"/>
          <w:color w:val="000000"/>
          <w:sz w:val="21"/>
        </w:rPr>
        <w:t>7.</w:t>
      </w:r>
      <w:r>
        <w:rPr>
          <w:rFonts w:ascii="Times New Roman;serif" w:hAnsi="Times New Roman;serif"/>
          <w:b/>
          <w:color w:val="000000"/>
          <w:sz w:val="21"/>
          <w:u w:val="single"/>
        </w:rPr>
        <w:t>NOTIFICATION OF NEW EMPLOYER</w:t>
      </w:r>
    </w:p>
    <w:p>
      <w:pPr>
        <w:pStyle w:val="TextBody"/>
        <w:bidi w:val="0"/>
        <w:spacing w:lineRule="auto" w:line="288" w:before="0" w:after="0"/>
        <w:jc w:val="both"/>
        <w:rPr>
          <w:rFonts w:ascii="Times New Roman;serif" w:hAnsi="Times New Roman;serif"/>
          <w:b w:val="false"/>
          <w:color w:val="000000"/>
          <w:sz w:val="21"/>
        </w:rPr>
      </w:pPr>
      <w:r>
        <w:rPr>
          <w:rFonts w:ascii="Times New Roman;serif" w:hAnsi="Times New Roman;serif"/>
          <w:b w:val="false"/>
          <w:color w:val="000000"/>
          <w:sz w:val="21"/>
        </w:rPr>
        <w:t>In the event that I leave the employ of the Company, I hereby grant consent to notification by the Company to my new employer about my obligations under this Agreement.</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1"/>
        </w:rPr>
        <w:t>8.</w:t>
      </w:r>
      <w:r>
        <w:rPr>
          <w:rFonts w:ascii="Times New Roman;serif" w:hAnsi="Times New Roman;serif"/>
          <w:b/>
          <w:color w:val="000000"/>
          <w:sz w:val="21"/>
          <w:u w:val="single"/>
        </w:rPr>
        <w:t>NON-SOLICITATION OF EMPLOYEES USING COMPANY CONFIDENTIAL</w:t>
      </w:r>
      <w:r>
        <w:rPr>
          <w:color w:val="000000"/>
        </w:rPr>
        <w:t xml:space="preserve"> </w:t>
      </w:r>
      <w:r>
        <w:rPr>
          <w:rFonts w:ascii="Times New Roman;serif" w:hAnsi="Times New Roman;serif"/>
          <w:b/>
          <w:color w:val="000000"/>
          <w:sz w:val="21"/>
          <w:u w:val="single"/>
        </w:rPr>
        <w:t>INFORMATION.</w:t>
      </w:r>
    </w:p>
    <w:p>
      <w:pPr>
        <w:pStyle w:val="TextBody"/>
        <w:bidi w:val="0"/>
        <w:ind w:left="0" w:right="0" w:hanging="722"/>
        <w:jc w:val="left"/>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6480175" cy="175260"/>
                <wp:effectExtent l="0" t="0" r="0" b="0"/>
                <wp:wrapNone/>
                <wp:docPr id="255" name="Frame2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722"/>
        <w:jc w:val="left"/>
        <w:rPr/>
      </w:pPr>
      <w:r>
        <w:rPr/>
      </w:r>
    </w:p>
    <w:p>
      <w:pPr>
        <w:pStyle w:val="TextBody"/>
        <w:bidi w:val="0"/>
        <w:spacing w:lineRule="auto" w:line="288" w:before="82" w:after="283"/>
        <w:jc w:val="both"/>
        <w:rPr>
          <w:rFonts w:ascii="Times New Roman;serif" w:hAnsi="Times New Roman;serif"/>
          <w:b w:val="false"/>
          <w:color w:val="000000"/>
          <w:sz w:val="21"/>
        </w:rPr>
      </w:pPr>
      <w:r>
        <w:rPr>
          <w:rFonts w:ascii="Times New Roman;serif" w:hAnsi="Times New Roman;serif"/>
          <w:b w:val="false"/>
          <w:color w:val="000000"/>
          <w:sz w:val="21"/>
        </w:rPr>
        <w:t>To the fullest extent permitted under applicable law, I agree that during my employment and for a period of twelve (12) months immediately following the termination of my relationship with the Company for any reason, whether voluntary or involuntary, with or without cause, I will not use any Company Confidential Information in order to directly or indirectly solicit any of the Company’s employees to leave their employment at the Company. I agree that nothing in this Section 9 shall affect my continuing obligations under this Agreement during and after this twelve (12) month period, including, without limitation, my obligations under Section 3.</w:t>
      </w:r>
    </w:p>
    <w:p>
      <w:pPr>
        <w:pStyle w:val="TextBody"/>
        <w:bidi w:val="0"/>
        <w:spacing w:before="4" w:after="283"/>
        <w:jc w:val="left"/>
        <w:rPr/>
      </w:pPr>
      <w:r>
        <w:rPr/>
      </w:r>
    </w:p>
    <w:p>
      <w:pPr>
        <w:pStyle w:val="TextBody"/>
        <w:bidi w:val="0"/>
        <w:spacing w:lineRule="atLeast" w:line="240" w:before="0" w:after="0"/>
        <w:ind w:left="0" w:right="0" w:hanging="722"/>
        <w:jc w:val="left"/>
        <w:rPr/>
      </w:pPr>
      <w:r>
        <w:rPr>
          <w:rFonts w:ascii="Times New Roman;serif" w:hAnsi="Times New Roman;serif"/>
          <w:b w:val="false"/>
          <w:color w:val="000000"/>
          <w:sz w:val="21"/>
        </w:rPr>
        <w:t>9.</w:t>
      </w:r>
      <w:r>
        <w:rPr>
          <w:rFonts w:ascii="Times New Roman;serif" w:hAnsi="Times New Roman;serif"/>
          <w:b/>
          <w:color w:val="000000"/>
          <w:sz w:val="21"/>
          <w:u w:val="single"/>
        </w:rPr>
        <w:t>CONFLICT OF INTEREST GUIDELINES</w:t>
      </w:r>
    </w:p>
    <w:p>
      <w:pPr>
        <w:pStyle w:val="TextBody"/>
        <w:bidi w:val="0"/>
        <w:spacing w:lineRule="auto" w:line="288" w:before="0" w:after="0"/>
        <w:jc w:val="both"/>
        <w:rPr>
          <w:rFonts w:ascii="Times New Roman;serif" w:hAnsi="Times New Roman;serif"/>
          <w:b w:val="false"/>
          <w:color w:val="000000"/>
          <w:sz w:val="21"/>
        </w:rPr>
      </w:pPr>
      <w:r>
        <w:rPr>
          <w:rFonts w:ascii="Times New Roman;serif" w:hAnsi="Times New Roman;serif"/>
          <w:b w:val="false"/>
          <w:color w:val="000000"/>
          <w:sz w:val="21"/>
        </w:rPr>
        <w:t>I agree to diligently adhere to all policies of the Company, including the Company’s insider trading policies and the Company’s Conflict of Interest Guidelines. A copy of the Company’s current Conflict of Interest Guidelines is attached as Exhibit C hereto, but I understand that these Conflict of Interest Guidelines may be revised from time to time during my employment.</w:t>
      </w:r>
    </w:p>
    <w:p>
      <w:pPr>
        <w:pStyle w:val="TextBody"/>
        <w:bidi w:val="0"/>
        <w:spacing w:before="0" w:after="0"/>
        <w:jc w:val="left"/>
        <w:rPr/>
      </w:pPr>
      <w:r>
        <w:rPr/>
      </w:r>
    </w:p>
    <w:p>
      <w:pPr>
        <w:pStyle w:val="TextBody"/>
        <w:bidi w:val="0"/>
        <w:spacing w:lineRule="atLeast" w:line="241" w:before="1" w:after="283"/>
        <w:ind w:left="0" w:right="0" w:hanging="722"/>
        <w:jc w:val="left"/>
        <w:rPr/>
      </w:pPr>
      <w:r>
        <w:rPr>
          <w:rFonts w:ascii="Times New Roman;serif" w:hAnsi="Times New Roman;serif"/>
          <w:b w:val="false"/>
          <w:color w:val="000000"/>
          <w:sz w:val="21"/>
        </w:rPr>
        <w:t>10.</w:t>
      </w:r>
      <w:r>
        <w:rPr>
          <w:rFonts w:ascii="Times New Roman;serif" w:hAnsi="Times New Roman;serif"/>
          <w:b/>
          <w:color w:val="000000"/>
          <w:sz w:val="21"/>
          <w:u w:val="single"/>
        </w:rPr>
        <w:t>REPRESENTATIONS</w:t>
      </w:r>
    </w:p>
    <w:p>
      <w:pPr>
        <w:pStyle w:val="TextBody"/>
        <w:bidi w:val="0"/>
        <w:spacing w:lineRule="auto" w:line="288" w:before="0" w:after="0"/>
        <w:jc w:val="both"/>
        <w:rPr>
          <w:rFonts w:ascii="Times New Roman;serif" w:hAnsi="Times New Roman;serif"/>
          <w:b w:val="false"/>
          <w:color w:val="000000"/>
          <w:sz w:val="21"/>
        </w:rPr>
      </w:pPr>
      <w:r>
        <w:rPr>
          <w:rFonts w:ascii="Times New Roman;serif" w:hAnsi="Times New Roman;serif"/>
          <w:b w:val="false"/>
          <w:color w:val="000000"/>
          <w:sz w:val="21"/>
        </w:rPr>
        <w:t>Without limiting my obligations under Section 4.E above, I agree to execute any proper oath or verify any proper document required to carry out the terms of this Agreement. I represent and warrant that my performance of all the terms of this Agreement will not breach any agreement to keep in confidence information acquired by me in confidence or in trust prior to my employment by the Company. I hereby represent and warrant that I have not entered into, and I will not enter into, any oral or written agreement in conflict herewith.</w:t>
      </w:r>
    </w:p>
    <w:p>
      <w:pPr>
        <w:pStyle w:val="TextBody"/>
        <w:bidi w:val="0"/>
        <w:spacing w:before="2" w:after="283"/>
        <w:jc w:val="left"/>
        <w:rPr/>
      </w:pPr>
      <w:r>
        <w:rPr/>
      </w:r>
    </w:p>
    <w:p>
      <w:pPr>
        <w:pStyle w:val="TextBody"/>
        <w:bidi w:val="0"/>
        <w:spacing w:lineRule="atLeast" w:line="240" w:before="1" w:after="283"/>
        <w:ind w:left="0" w:right="0" w:hanging="722"/>
        <w:jc w:val="left"/>
        <w:rPr/>
      </w:pPr>
      <w:r>
        <w:rPr>
          <w:rFonts w:ascii="Times New Roman;serif" w:hAnsi="Times New Roman;serif"/>
          <w:b w:val="false"/>
          <w:color w:val="000000"/>
          <w:sz w:val="21"/>
        </w:rPr>
        <w:t>11.</w:t>
      </w:r>
      <w:r>
        <w:rPr>
          <w:rFonts w:ascii="Times New Roman;serif" w:hAnsi="Times New Roman;serif"/>
          <w:b/>
          <w:color w:val="000000"/>
          <w:sz w:val="21"/>
          <w:u w:val="single"/>
        </w:rPr>
        <w:t>AUDIT</w:t>
      </w:r>
    </w:p>
    <w:p>
      <w:pPr>
        <w:pStyle w:val="TextBody"/>
        <w:bidi w:val="0"/>
        <w:spacing w:lineRule="auto" w:line="288" w:before="0" w:after="0"/>
        <w:ind w:left="0" w:right="0" w:firstLine="717"/>
        <w:jc w:val="both"/>
        <w:rPr>
          <w:rFonts w:ascii="Times New Roman;serif" w:hAnsi="Times New Roman;serif"/>
          <w:b w:val="false"/>
          <w:color w:val="000000"/>
          <w:sz w:val="21"/>
        </w:rPr>
      </w:pPr>
      <w:r>
        <w:rPr>
          <w:rFonts w:ascii="Times New Roman;serif" w:hAnsi="Times New Roman;serif"/>
          <w:b w:val="false"/>
          <w:color w:val="000000"/>
          <w:sz w:val="21"/>
        </w:rPr>
        <w:t>I acknowledge that I have no reasonable expectation of privacy in any computer, handheld device, telephone, voicemail, email or other technology system that is used to conduct the business of the Company. All information, data, and messages created, received, sent, or stored in these systems are, at all times, the property of the Company. As such, the Company has the right to audit and search all such items and systems, without further notice to me, to ensure that the Company is licensed to use the software on the Company’s devices in compliance with the Company’s software licensing policies, to ensure compliance with the Company’s policies, and for any other business-related purposes in the Company’s sole discretion. I understand that I am not permitted to add any unlicensed, unauthorized, or non-compliant applications to the Company’s technology systems, including, without limitation, open source or free software not authorized by the Company, and that I shall refrain from copying unlicensed software onto the Company’s technology systems or using non-licensed software or websites. I understand that it is my responsibility to comply with the Company’s policies governing use of the Company’s documents and the internet, email, telephone, and technology systems to which I will have access in connection with my employment.</w:t>
      </w:r>
    </w:p>
    <w:p>
      <w:pPr>
        <w:pStyle w:val="TextBody"/>
        <w:bidi w:val="0"/>
        <w:spacing w:lineRule="auto" w:line="288" w:before="238" w:after="283"/>
        <w:ind w:left="0" w:right="0" w:firstLine="717"/>
        <w:jc w:val="both"/>
        <w:rPr>
          <w:rFonts w:ascii="Times New Roman;serif" w:hAnsi="Times New Roman;serif"/>
          <w:b w:val="false"/>
          <w:color w:val="000000"/>
          <w:sz w:val="21"/>
        </w:rPr>
      </w:pPr>
      <w:r>
        <w:rPr>
          <w:rFonts w:ascii="Times New Roman;serif" w:hAnsi="Times New Roman;serif"/>
          <w:b w:val="false"/>
          <w:color w:val="000000"/>
          <w:sz w:val="21"/>
        </w:rPr>
        <w:t>I am aware that the Company has or may acquire software and systems that are capable of monitoring and recording all Company network traffic to and from any computer, handheld device, telephone, voicemail, email or other technology system I may use to access the Company’s internal networks. The Company reserves the right to access, review, copy, and delete any of the information, data, or messages accessed through these systems with or without notice to me and/or in my absence. This includes, but is not limited to, all e-mail messages sent or received, all website visits, all chat sessions, all news group activity (including groups visited, messages read, and postings by me), and all file transfers into and out of the Company’s internal networks. The Company further reserves the right to retrieve previously deleted messages from e-mail or voicemail and monitor usage of the Internet, including websites visited and any information I have downloaded. In addition, the Company may review Internet and technology systems activity and analyze usage patterns, and may choose to publicize this data to assure that technology systems are devoted to legitimate business purposes.</w:t>
      </w:r>
    </w:p>
    <w:p>
      <w:pPr>
        <w:pStyle w:val="TextBody"/>
        <w:bidi w:val="0"/>
        <w:spacing w:before="9" w:after="283"/>
        <w:jc w:val="left"/>
        <w:rPr/>
      </w:pPr>
      <w:r>
        <w:rPr/>
      </w:r>
    </w:p>
    <w:p>
      <w:pPr>
        <w:pStyle w:val="TextBody"/>
        <w:bidi w:val="0"/>
        <w:spacing w:lineRule="auto" w:line="288" w:before="0" w:after="0"/>
        <w:ind w:left="0" w:right="0" w:hanging="722"/>
        <w:jc w:val="left"/>
        <w:rPr/>
      </w:pPr>
      <w:r>
        <w:rPr>
          <w:rFonts w:ascii="Times New Roman;serif" w:hAnsi="Times New Roman;serif"/>
          <w:b w:val="false"/>
          <w:color w:val="000000"/>
          <w:sz w:val="21"/>
        </w:rPr>
        <w:t>12.</w:t>
      </w:r>
      <w:r>
        <w:rPr>
          <w:rFonts w:ascii="Times New Roman;serif" w:hAnsi="Times New Roman;serif"/>
          <w:b/>
          <w:color w:val="000000"/>
          <w:sz w:val="21"/>
          <w:u w:val="single"/>
        </w:rPr>
        <w:t>MISCELLANEOUS</w:t>
      </w:r>
    </w:p>
    <w:p>
      <w:pPr>
        <w:pStyle w:val="TextBody"/>
        <w:bidi w:val="0"/>
        <w:spacing w:lineRule="auto" w:line="288" w:before="236" w:after="283"/>
        <w:ind w:left="0" w:right="0" w:firstLine="717"/>
        <w:jc w:val="both"/>
        <w:rPr/>
      </w:pPr>
      <w:r>
        <w:rPr>
          <w:rFonts w:ascii="Times New Roman;serif" w:hAnsi="Times New Roman;serif"/>
          <w:b w:val="false"/>
          <w:color w:val="000000"/>
          <w:sz w:val="21"/>
        </w:rPr>
        <w:t>A.</w:t>
      </w:r>
      <w:r>
        <w:rPr>
          <w:rFonts w:ascii="Times New Roman;serif" w:hAnsi="Times New Roman;serif"/>
          <w:b w:val="false"/>
          <w:i/>
          <w:color w:val="000000"/>
          <w:sz w:val="21"/>
        </w:rPr>
        <w:t>Governing Law; Consent to Personal Jurisdiction</w:t>
      </w:r>
      <w:r>
        <w:rPr>
          <w:rFonts w:ascii="Times New Roman;serif" w:hAnsi="Times New Roman;serif"/>
          <w:b w:val="false"/>
          <w:color w:val="000000"/>
          <w:sz w:val="21"/>
        </w:rPr>
        <w:t>. This Agreement (with the exception of the Arbitration Agreement attached as Exhibit 2) will be governed by the laws of the State of California without regard to California’s conflicts of law rules that may result in the application of the laws of any jurisdiction other than California.</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6480175" cy="175260"/>
                <wp:effectExtent l="0" t="0" r="0" b="0"/>
                <wp:wrapNone/>
                <wp:docPr id="256" name="Frame2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17"/>
        <w:jc w:val="both"/>
        <w:rPr/>
      </w:pPr>
      <w:r>
        <w:rPr/>
      </w:r>
    </w:p>
    <w:p>
      <w:pPr>
        <w:pStyle w:val="TextBody"/>
        <w:bidi w:val="0"/>
        <w:spacing w:before="81" w:after="283"/>
        <w:jc w:val="left"/>
        <w:rPr/>
      </w:pPr>
      <w:r>
        <w:rPr/>
      </w:r>
    </w:p>
    <w:p>
      <w:pPr>
        <w:pStyle w:val="TextBody"/>
        <w:bidi w:val="0"/>
        <w:spacing w:lineRule="auto" w:line="288" w:before="0" w:after="0"/>
        <w:ind w:left="0" w:right="0" w:firstLine="717"/>
        <w:jc w:val="both"/>
        <w:rPr/>
      </w:pPr>
      <w:r>
        <w:rPr>
          <w:rFonts w:ascii="Times New Roman;serif" w:hAnsi="Times New Roman;serif"/>
          <w:b w:val="false"/>
          <w:color w:val="000000"/>
          <w:sz w:val="21"/>
        </w:rPr>
        <w:t>B.</w:t>
      </w:r>
      <w:r>
        <w:rPr>
          <w:rFonts w:ascii="Times New Roman;serif" w:hAnsi="Times New Roman;serif"/>
          <w:b w:val="false"/>
          <w:i/>
          <w:color w:val="000000"/>
          <w:sz w:val="21"/>
        </w:rPr>
        <w:t xml:space="preserve">Assignability. </w:t>
      </w:r>
      <w:r>
        <w:rPr>
          <w:rFonts w:ascii="Times New Roman;serif" w:hAnsi="Times New Roman;serif"/>
          <w:b w:val="false"/>
          <w:color w:val="000000"/>
          <w:sz w:val="21"/>
        </w:rPr>
        <w:t>This Agreement will be binding upon my heirs, executors, assigns, administrators, and other legal representatives, and will be for the benefit of the Company, its successors, and its assigns. There are no intended third-party beneficiaries to this Agreement, except as may be expressly otherwise stated. Notwithstanding anything to the contrary herein, Figure may assign this Agreement and its rights and obligations under this Agreement to any successor to all or substantially all of Figure’ s relevant assets, whether by merger, consolidation, reorganization, reincorporation, sale of assets or stock, or otherwise.</w:t>
      </w:r>
    </w:p>
    <w:p>
      <w:pPr>
        <w:pStyle w:val="TextBody"/>
        <w:bidi w:val="0"/>
        <w:spacing w:before="1" w:after="283"/>
        <w:jc w:val="left"/>
        <w:rPr/>
      </w:pPr>
      <w:r>
        <w:rPr/>
      </w:r>
    </w:p>
    <w:p>
      <w:pPr>
        <w:pStyle w:val="TextBody"/>
        <w:bidi w:val="0"/>
        <w:spacing w:lineRule="auto" w:line="288" w:before="0" w:after="0"/>
        <w:ind w:left="0" w:right="0" w:firstLine="717"/>
        <w:jc w:val="both"/>
        <w:rPr/>
      </w:pPr>
      <w:r>
        <w:rPr>
          <w:rFonts w:ascii="Times New Roman;serif" w:hAnsi="Times New Roman;serif"/>
          <w:b w:val="false"/>
          <w:color w:val="000000"/>
          <w:sz w:val="21"/>
        </w:rPr>
        <w:t>C.</w:t>
      </w:r>
      <w:r>
        <w:rPr>
          <w:rFonts w:ascii="Times New Roman;serif" w:hAnsi="Times New Roman;serif"/>
          <w:b w:val="false"/>
          <w:i/>
          <w:color w:val="000000"/>
          <w:sz w:val="21"/>
        </w:rPr>
        <w:t>Entire Agreement</w:t>
      </w:r>
      <w:r>
        <w:rPr>
          <w:rFonts w:ascii="Times New Roman;serif" w:hAnsi="Times New Roman;serif"/>
          <w:b w:val="false"/>
          <w:color w:val="000000"/>
          <w:sz w:val="21"/>
        </w:rPr>
        <w:t>. This Agreement, together with the Exhibits herein and any executed written offer letter between me and the Company, to the extent such materials are not in conflict with this Agreement, sets forth the entire agreement and understanding between the Company and me with respect to the subject matter herein and supersedes all prior written and oral agreements, discussions, or representations between us, including, but not limited to, any representations made during my interview(s) or relocation negotiations. I represent and warrant that I am not relying on any statement or representation not contained in this Agreement. Any subsequent change or changes in my duties, salary, compensation, conditions or any other terms of my employment will not affect the validity or scope of this Agreement.</w:t>
      </w:r>
    </w:p>
    <w:p>
      <w:pPr>
        <w:pStyle w:val="TextBody"/>
        <w:bidi w:val="0"/>
        <w:spacing w:lineRule="auto" w:line="288" w:before="241" w:after="283"/>
        <w:ind w:left="0" w:right="0" w:firstLine="717"/>
        <w:jc w:val="both"/>
        <w:rPr/>
      </w:pPr>
      <w:r>
        <w:rPr>
          <w:rFonts w:ascii="Times New Roman;serif" w:hAnsi="Times New Roman;serif"/>
          <w:b w:val="false"/>
          <w:color w:val="000000"/>
          <w:sz w:val="21"/>
        </w:rPr>
        <w:t>D.</w:t>
      </w:r>
      <w:r>
        <w:rPr>
          <w:rFonts w:ascii="Times New Roman;serif" w:hAnsi="Times New Roman;serif"/>
          <w:b w:val="false"/>
          <w:i/>
          <w:color w:val="000000"/>
          <w:sz w:val="21"/>
        </w:rPr>
        <w:t>Severability</w:t>
      </w:r>
      <w:r>
        <w:rPr>
          <w:rFonts w:ascii="Times New Roman;serif" w:hAnsi="Times New Roman;serif"/>
          <w:b w:val="false"/>
          <w:color w:val="000000"/>
          <w:sz w:val="21"/>
        </w:rPr>
        <w:t>. If a court or other body of competent jurisdiction finds, or the Parties mutually believe, any provision of this Agreement, or portion thereof, to be invalid or unenforceable, such provision will be enforced to the maximum extent permissible so as to effect the intent of the Parties, and the remainder of this Agreement will continue in full force and effect.</w:t>
      </w:r>
    </w:p>
    <w:p>
      <w:pPr>
        <w:pStyle w:val="TextBody"/>
        <w:bidi w:val="0"/>
        <w:spacing w:before="0" w:after="0"/>
        <w:jc w:val="left"/>
        <w:rPr/>
      </w:pPr>
      <w:r>
        <w:rPr/>
      </w:r>
    </w:p>
    <w:p>
      <w:pPr>
        <w:pStyle w:val="TextBody"/>
        <w:bidi w:val="0"/>
        <w:spacing w:lineRule="auto" w:line="288" w:before="0" w:after="0"/>
        <w:ind w:left="0" w:right="0" w:firstLine="717"/>
        <w:jc w:val="both"/>
        <w:rPr/>
      </w:pPr>
      <w:r>
        <w:rPr>
          <w:rFonts w:ascii="Times New Roman;serif" w:hAnsi="Times New Roman;serif"/>
          <w:b w:val="false"/>
          <w:color w:val="000000"/>
          <w:sz w:val="21"/>
        </w:rPr>
        <w:t>E.</w:t>
      </w:r>
      <w:r>
        <w:rPr>
          <w:rFonts w:ascii="Times New Roman;serif" w:hAnsi="Times New Roman;serif"/>
          <w:b w:val="false"/>
          <w:i/>
          <w:color w:val="000000"/>
          <w:sz w:val="21"/>
        </w:rPr>
        <w:t>Modification, Waiver</w:t>
      </w:r>
      <w:r>
        <w:rPr>
          <w:rFonts w:ascii="Times New Roman;serif" w:hAnsi="Times New Roman;serif"/>
          <w:b w:val="false"/>
          <w:color w:val="000000"/>
          <w:sz w:val="21"/>
        </w:rPr>
        <w:t>. No modification of or amendment to this Agreement, nor any waiver of any rights under this Agreement, will be effective unless in a writing signed by the President or CEO of Figure and me. Waiver by Figure of a breach of any provision of this Agreement will not operate as a waiver of any other or subsequent breach.</w:t>
      </w:r>
    </w:p>
    <w:p>
      <w:pPr>
        <w:pStyle w:val="TextBody"/>
        <w:bidi w:val="0"/>
        <w:spacing w:before="0" w:after="0"/>
        <w:jc w:val="left"/>
        <w:rPr/>
      </w:pPr>
      <w:r>
        <w:rPr/>
      </w:r>
    </w:p>
    <w:p>
      <w:pPr>
        <w:pStyle w:val="TextBody"/>
        <w:bidi w:val="0"/>
        <w:spacing w:lineRule="auto" w:line="288" w:before="0" w:after="0"/>
        <w:ind w:left="0" w:right="0" w:firstLine="717"/>
        <w:jc w:val="both"/>
        <w:rPr/>
      </w:pPr>
      <w:r>
        <w:rPr>
          <w:rFonts w:ascii="Times New Roman;serif" w:hAnsi="Times New Roman;serif"/>
          <w:b w:val="false"/>
          <w:color w:val="000000"/>
          <w:sz w:val="21"/>
        </w:rPr>
        <w:t>F.</w:t>
      </w:r>
      <w:r>
        <w:rPr>
          <w:rFonts w:ascii="Times New Roman;serif" w:hAnsi="Times New Roman;serif"/>
          <w:b w:val="false"/>
          <w:i/>
          <w:color w:val="000000"/>
          <w:sz w:val="21"/>
        </w:rPr>
        <w:t>Survivorship</w:t>
      </w:r>
      <w:r>
        <w:rPr>
          <w:rFonts w:ascii="Times New Roman;serif" w:hAnsi="Times New Roman;serif"/>
          <w:b w:val="false"/>
          <w:color w:val="000000"/>
          <w:sz w:val="21"/>
        </w:rPr>
        <w:t>. The rights and obligations of the parties to this Agreement will survive termination of my employment with the Company.</w:t>
      </w:r>
    </w:p>
    <w:p>
      <w:pPr>
        <w:pStyle w:val="TextBody"/>
        <w:bidi w:val="0"/>
        <w:spacing w:before="0" w:after="0"/>
        <w:jc w:val="left"/>
        <w:rPr/>
      </w:pPr>
      <w:r>
        <w:rPr/>
      </w:r>
    </w:p>
    <w:p>
      <w:pPr>
        <w:pStyle w:val="TextBody"/>
        <w:bidi w:val="0"/>
        <w:spacing w:lineRule="auto" w:line="288" w:before="212" w:after="283"/>
        <w:jc w:val="left"/>
        <w:rPr>
          <w:rFonts w:ascii="Times New Roman;serif" w:hAnsi="Times New Roman;serif"/>
          <w:b/>
          <w:color w:val="000000"/>
          <w:sz w:val="24"/>
        </w:rPr>
      </w:pPr>
      <w:r>
        <w:rPr>
          <w:rFonts w:ascii="Times New Roman;serif" w:hAnsi="Times New Roman;serif"/>
          <w:b/>
          <w:color w:val="000000"/>
          <w:sz w:val="24"/>
        </w:rPr>
        <w:t>FIGURE TECHNOLOGIES, INC.</w:t>
      </w:r>
    </w:p>
    <w:p>
      <w:pPr>
        <w:pStyle w:val="TextBody"/>
        <w:bidi w:val="0"/>
        <w:spacing w:before="0" w:after="0"/>
        <w:jc w:val="left"/>
        <w:rPr/>
      </w:pPr>
      <w:r>
        <w:rPr/>
      </w:r>
    </w:p>
    <w:tbl>
      <w:tblPr>
        <w:tblW w:w="4706" w:type="dxa"/>
        <w:jc w:val="left"/>
        <w:tblInd w:w="0" w:type="dxa"/>
        <w:tblLayout w:type="fixed"/>
        <w:tblCellMar>
          <w:top w:w="28" w:type="dxa"/>
          <w:left w:w="28" w:type="dxa"/>
          <w:bottom w:w="28" w:type="dxa"/>
          <w:right w:w="28" w:type="dxa"/>
        </w:tblCellMar>
      </w:tblPr>
      <w:tblGrid>
        <w:gridCol w:w="1182"/>
        <w:gridCol w:w="1042"/>
        <w:gridCol w:w="1046"/>
        <w:gridCol w:w="109"/>
        <w:gridCol w:w="109"/>
        <w:gridCol w:w="109"/>
        <w:gridCol w:w="324"/>
        <w:gridCol w:w="324"/>
        <w:gridCol w:w="461"/>
      </w:tblGrid>
      <w:tr>
        <w:trPr/>
        <w:tc>
          <w:tcPr>
            <w:tcW w:w="1182"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Doug Burns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10/27/2023</w:t>
            </w:r>
          </w:p>
        </w:tc>
      </w:tr>
      <w:tr>
        <w:trPr/>
        <w:tc>
          <w:tcPr>
            <w:tcW w:w="32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Douglas Burns, Chief People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2" w:after="283"/>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ACKNOWLEDGED AND AGREED:</w:t>
      </w:r>
    </w:p>
    <w:p>
      <w:pPr>
        <w:pStyle w:val="TextBody"/>
        <w:bidi w:val="0"/>
        <w:spacing w:before="0" w:after="0"/>
        <w:jc w:val="left"/>
        <w:rPr/>
      </w:pPr>
      <w:r>
        <w:rPr/>
      </w:r>
    </w:p>
    <w:tbl>
      <w:tblPr>
        <w:tblW w:w="3055" w:type="dxa"/>
        <w:jc w:val="left"/>
        <w:tblInd w:w="0" w:type="dxa"/>
        <w:tblLayout w:type="fixed"/>
        <w:tblCellMar>
          <w:top w:w="28" w:type="dxa"/>
          <w:left w:w="28" w:type="dxa"/>
          <w:bottom w:w="28" w:type="dxa"/>
          <w:right w:w="28" w:type="dxa"/>
        </w:tblCellMar>
      </w:tblPr>
      <w:tblGrid>
        <w:gridCol w:w="585"/>
        <w:gridCol w:w="516"/>
        <w:gridCol w:w="518"/>
        <w:gridCol w:w="109"/>
        <w:gridCol w:w="109"/>
        <w:gridCol w:w="109"/>
        <w:gridCol w:w="324"/>
        <w:gridCol w:w="324"/>
        <w:gridCol w:w="461"/>
      </w:tblGrid>
      <w:tr>
        <w:trPr/>
        <w:tc>
          <w:tcPr>
            <w:tcW w:w="585"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r>
      <w:tr>
        <w:trPr/>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Todd Stevens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10/27/2023</w:t>
            </w:r>
          </w:p>
        </w:tc>
      </w:tr>
      <w:tr>
        <w:trPr/>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115" w:after="283"/>
        <w:jc w:val="left"/>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6480175" cy="175260"/>
                <wp:effectExtent l="0" t="0" r="0" b="0"/>
                <wp:wrapNone/>
                <wp:docPr id="257" name="Frame2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37"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 w:after="283"/>
        <w:ind w:left="0" w:right="0" w:hanging="663"/>
        <w:jc w:val="left"/>
        <w:rPr/>
      </w:pPr>
      <w:r>
        <w:rPr>
          <w:rFonts w:ascii="Times New Roman;serif" w:hAnsi="Times New Roman;serif"/>
          <w:b/>
          <w:color w:val="000000"/>
          <w:sz w:val="24"/>
          <w:u w:val="single"/>
        </w:rPr>
        <w:t>EXHIBIT A TO CONFIDENTIAL INFORMATION AND</w:t>
      </w:r>
      <w:r>
        <w:rPr>
          <w:color w:val="000000"/>
        </w:rPr>
        <w:t xml:space="preserve"> </w:t>
      </w:r>
      <w:r>
        <w:rPr>
          <w:rFonts w:ascii="Times New Roman;serif" w:hAnsi="Times New Roman;serif"/>
          <w:b/>
          <w:color w:val="000000"/>
          <w:sz w:val="24"/>
          <w:u w:val="single"/>
        </w:rPr>
        <w:t>INVENTION ASSIGNMENT AGREEMENT</w:t>
      </w:r>
    </w:p>
    <w:p>
      <w:pPr>
        <w:pStyle w:val="TextBody"/>
        <w:bidi w:val="0"/>
        <w:spacing w:lineRule="auto" w:line="288" w:before="276" w:after="283"/>
        <w:jc w:val="center"/>
        <w:rPr>
          <w:rFonts w:ascii="Times New Roman;serif" w:hAnsi="Times New Roman;serif"/>
          <w:b/>
          <w:color w:val="000000"/>
          <w:sz w:val="24"/>
        </w:rPr>
      </w:pPr>
      <w:r>
        <w:rPr>
          <w:rFonts w:ascii="Times New Roman;serif" w:hAnsi="Times New Roman;serif"/>
          <w:b/>
          <w:color w:val="000000"/>
          <w:sz w:val="24"/>
        </w:rPr>
        <w:t>LIST OF PRIOR INVENTIONS</w:t>
      </w:r>
    </w:p>
    <w:p>
      <w:pPr>
        <w:pStyle w:val="TextBody"/>
        <w:bidi w:val="0"/>
        <w:spacing w:lineRule="auto" w:line="288" w:before="2" w:after="283"/>
        <w:jc w:val="center"/>
        <w:rPr>
          <w:rFonts w:ascii="Times New Roman;serif" w:hAnsi="Times New Roman;serif"/>
          <w:b/>
          <w:color w:val="000000"/>
          <w:sz w:val="24"/>
        </w:rPr>
      </w:pPr>
      <w:r>
        <w:rPr>
          <w:rFonts w:ascii="Times New Roman;serif" w:hAnsi="Times New Roman;serif"/>
          <w:b/>
          <w:color w:val="000000"/>
          <w:sz w:val="24"/>
        </w:rPr>
        <w:t>AND ORIGINAL WORKS OF AUTHORSHIP</w:t>
      </w:r>
    </w:p>
    <w:p>
      <w:pPr>
        <w:pStyle w:val="TextBody"/>
        <w:bidi w:val="0"/>
        <w:spacing w:before="2" w:after="283"/>
        <w:jc w:val="center"/>
        <w:rPr/>
      </w:pPr>
      <w:r>
        <w:rPr/>
      </w:r>
    </w:p>
    <w:p>
      <w:pPr>
        <w:pStyle w:val="TextBody"/>
        <w:bidi w:val="0"/>
        <w:spacing w:before="2" w:after="283"/>
        <w:jc w:val="center"/>
        <w:rPr/>
      </w:pPr>
      <w:r>
        <w:rPr/>
      </w:r>
    </w:p>
    <w:p>
      <w:pPr>
        <w:pStyle w:val="TextBody"/>
        <w:bidi w:val="0"/>
        <w:spacing w:before="2" w:after="283"/>
        <w:jc w:val="center"/>
        <w:rPr/>
      </w:pPr>
      <w:r>
        <w:rPr/>
      </w:r>
    </w:p>
    <w:p>
      <w:pPr>
        <w:pStyle w:val="TextBody"/>
        <w:bidi w:val="0"/>
        <w:spacing w:lineRule="auto" w:line="288" w:before="0" w:after="0"/>
        <w:jc w:val="left"/>
        <w:rPr/>
      </w:pPr>
      <w:r>
        <w:rPr>
          <w:color w:val="000000"/>
          <w:u w:val="single"/>
        </w:rPr>
        <w:t>    </w:t>
      </w:r>
      <w:r>
        <w:rPr>
          <w:rFonts w:ascii="Times New Roman;serif" w:hAnsi="Times New Roman;serif"/>
          <w:b w:val="false"/>
          <w:color w:val="000000"/>
          <w:sz w:val="24"/>
        </w:rPr>
        <w:t>No inventions or improvements</w:t>
      </w:r>
    </w:p>
    <w:p>
      <w:pPr>
        <w:pStyle w:val="TextBody"/>
        <w:bidi w:val="0"/>
        <w:spacing w:lineRule="auto" w:line="288" w:before="0" w:after="0"/>
        <w:jc w:val="left"/>
        <w:rPr/>
      </w:pPr>
      <w:r>
        <w:rPr>
          <w:color w:val="000000"/>
          <w:u w:val="single"/>
        </w:rPr>
        <w:t>    </w:t>
      </w:r>
      <w:r>
        <w:rPr>
          <w:rFonts w:ascii="Times New Roman;serif" w:hAnsi="Times New Roman;serif"/>
          <w:b w:val="false"/>
          <w:color w:val="000000"/>
          <w:sz w:val="24"/>
        </w:rPr>
        <w:t>Additional Sheets Attached</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1694" w:type="dxa"/>
        <w:jc w:val="left"/>
        <w:tblInd w:w="0" w:type="dxa"/>
        <w:tblLayout w:type="fixed"/>
        <w:tblCellMar>
          <w:top w:w="28" w:type="dxa"/>
          <w:left w:w="28" w:type="dxa"/>
          <w:bottom w:w="28" w:type="dxa"/>
          <w:right w:w="28" w:type="dxa"/>
        </w:tblCellMar>
      </w:tblPr>
      <w:tblGrid>
        <w:gridCol w:w="250"/>
        <w:gridCol w:w="220"/>
        <w:gridCol w:w="221"/>
        <w:gridCol w:w="109"/>
        <w:gridCol w:w="109"/>
        <w:gridCol w:w="109"/>
        <w:gridCol w:w="198"/>
        <w:gridCol w:w="198"/>
        <w:gridCol w:w="280"/>
      </w:tblGrid>
      <w:tr>
        <w:trPr/>
        <w:tc>
          <w:tcPr>
            <w:tcW w:w="25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w:t>
            </w:r>
          </w:p>
        </w:tc>
      </w:tr>
    </w:tbl>
    <w:p>
      <w:pPr>
        <w:pStyle w:val="TextBody"/>
        <w:bidi w:val="0"/>
        <w:spacing w:before="0" w:after="283"/>
        <w:jc w:val="left"/>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6480175" cy="175260"/>
                <wp:effectExtent l="0" t="0" r="0" b="0"/>
                <wp:wrapNone/>
                <wp:docPr id="258" name="Frame2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85"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658"/>
        <w:jc w:val="left"/>
        <w:rPr/>
      </w:pPr>
      <w:r>
        <w:rPr>
          <w:rFonts w:ascii="Times New Roman;serif" w:hAnsi="Times New Roman;serif"/>
          <w:b/>
          <w:color w:val="000000"/>
          <w:sz w:val="24"/>
          <w:u w:val="single"/>
        </w:rPr>
        <w:t>EXHIBIT B TO CONFIDENTIAL INFORMATION AND</w:t>
      </w:r>
      <w:r>
        <w:rPr>
          <w:color w:val="000000"/>
        </w:rPr>
        <w:t xml:space="preserve"> </w:t>
      </w:r>
      <w:r>
        <w:rPr>
          <w:rFonts w:ascii="Times New Roman;serif" w:hAnsi="Times New Roman;serif"/>
          <w:b/>
          <w:color w:val="000000"/>
          <w:sz w:val="24"/>
          <w:u w:val="single"/>
        </w:rPr>
        <w:t>INVENTION ASSIGNMENT AGREEMENT</w:t>
      </w:r>
    </w:p>
    <w:p>
      <w:pPr>
        <w:pStyle w:val="TextBody"/>
        <w:bidi w:val="0"/>
        <w:spacing w:lineRule="auto" w:line="280" w:before="274" w:after="283"/>
        <w:ind w:left="0" w:right="0" w:firstLine="1130"/>
        <w:jc w:val="left"/>
        <w:rPr>
          <w:rFonts w:ascii="Times New Roman;serif" w:hAnsi="Times New Roman;serif"/>
          <w:b/>
          <w:color w:val="000000"/>
          <w:sz w:val="24"/>
        </w:rPr>
      </w:pPr>
      <w:r>
        <w:rPr>
          <w:rFonts w:ascii="Times New Roman;serif" w:hAnsi="Times New Roman;serif"/>
          <w:b/>
          <w:color w:val="000000"/>
          <w:sz w:val="24"/>
        </w:rPr>
        <w:t>CALIFORNIA LABOR CODE SECTION 2870 INVENTION ON OWN TIME-EXEMPTION FROM AGREEMENT</w:t>
      </w:r>
    </w:p>
    <w:p>
      <w:pPr>
        <w:pStyle w:val="TextBody"/>
        <w:bidi w:val="0"/>
        <w:spacing w:lineRule="auto" w:line="288" w:before="268" w:after="283"/>
        <w:ind w:left="0" w:right="0" w:firstLine="717"/>
        <w:jc w:val="both"/>
        <w:rPr>
          <w:color w:val="000000"/>
        </w:rPr>
      </w:pPr>
      <w:r>
        <w:rPr>
          <w:color w:val="000000"/>
        </w:rPr>
        <w:t>“</w:t>
      </w:r>
      <w:r>
        <w:rPr>
          <w:rFonts w:ascii="Times New Roman;serif" w:hAnsi="Times New Roman;serif"/>
          <w:b w:val="false"/>
          <w:color w:val="000000"/>
          <w:sz w:val="24"/>
        </w:rPr>
        <w:t>(a) Any provision in an employment agreement which provides that an employee shall assign, or offer to assign, any of his or her rights in an invention to his or her employer shall not apply to an invention that the employee developed entirely on his or her own time without using the employer’s equipment, supplies, facilities, or trade secret information except for those inventions that either:</w:t>
      </w:r>
    </w:p>
    <w:p>
      <w:pPr>
        <w:pStyle w:val="TextBody"/>
        <w:bidi w:val="0"/>
        <w:spacing w:before="1" w:after="283"/>
        <w:jc w:val="left"/>
        <w:rPr/>
      </w:pPr>
      <w:r>
        <w:rPr/>
      </w:r>
    </w:p>
    <w:p>
      <w:pPr>
        <w:pStyle w:val="TextBody"/>
        <w:bidi w:val="0"/>
        <w:spacing w:lineRule="auto" w:line="288" w:before="0" w:after="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(1)Relate at the time of conception or reduction to practice of the invention to the employer’s business, or actual or demonstrably anticipated research or development of the employer; or</w:t>
      </w:r>
    </w:p>
    <w:p>
      <w:pPr>
        <w:pStyle w:val="TextBody"/>
        <w:bidi w:val="0"/>
        <w:spacing w:before="0" w:after="0"/>
        <w:jc w:val="left"/>
        <w:rPr/>
      </w:pPr>
      <w:r>
        <w:rPr/>
      </w:r>
    </w:p>
    <w:p>
      <w:pPr>
        <w:pStyle w:val="TextBody"/>
        <w:bidi w:val="0"/>
        <w:spacing w:lineRule="auto" w:line="288" w:before="0" w:after="0"/>
        <w:ind w:left="0" w:right="0" w:hanging="719"/>
        <w:jc w:val="both"/>
        <w:rPr>
          <w:rFonts w:ascii="Times New Roman;serif" w:hAnsi="Times New Roman;serif"/>
          <w:b w:val="false"/>
          <w:color w:val="000000"/>
          <w:sz w:val="24"/>
        </w:rPr>
      </w:pPr>
      <w:r>
        <w:rPr>
          <w:rFonts w:ascii="Times New Roman;serif" w:hAnsi="Times New Roman;serif"/>
          <w:b w:val="false"/>
          <w:color w:val="000000"/>
          <w:sz w:val="24"/>
        </w:rPr>
        <w:t>(2)Result from any work performed by the employee for the employer.</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(b) To the extent a provision in an employment agreement purports to require an employee to assign an invention otherwise excluded from being required to be assigned under subdivision (a), the provision is against the public policy of this state and is unenforceable.”</w:t>
      </w:r>
    </w:p>
    <w:p>
      <w:pPr>
        <w:pStyle w:val="TextBody"/>
        <w:bidi w:val="0"/>
        <w:jc w:val="both"/>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6480175" cy="175260"/>
                <wp:effectExtent l="0" t="0" r="0" b="0"/>
                <wp:wrapNone/>
                <wp:docPr id="259" name="Frame2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83"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0" w:before="0" w:after="0"/>
        <w:ind w:left="0" w:right="0" w:hanging="663"/>
        <w:jc w:val="left"/>
        <w:rPr/>
      </w:pPr>
      <w:r>
        <w:rPr>
          <w:rFonts w:ascii="Times New Roman;serif" w:hAnsi="Times New Roman;serif"/>
          <w:b/>
          <w:color w:val="000000"/>
          <w:sz w:val="24"/>
          <w:u w:val="single"/>
        </w:rPr>
        <w:t>EXHIBIT C TO CONFIDENTIAL INFORMATION AND</w:t>
      </w:r>
      <w:r>
        <w:rPr>
          <w:color w:val="000000"/>
        </w:rPr>
        <w:t xml:space="preserve"> </w:t>
      </w:r>
      <w:r>
        <w:rPr>
          <w:rFonts w:ascii="Times New Roman;serif" w:hAnsi="Times New Roman;serif"/>
          <w:b/>
          <w:color w:val="000000"/>
          <w:sz w:val="24"/>
          <w:u w:val="single"/>
        </w:rPr>
        <w:t>INVENTION ASSIGNMENT AGREEMENT</w:t>
      </w:r>
    </w:p>
    <w:p>
      <w:pPr>
        <w:pStyle w:val="TextBody"/>
        <w:bidi w:val="0"/>
        <w:spacing w:lineRule="auto" w:line="288" w:before="271" w:after="283"/>
        <w:jc w:val="center"/>
        <w:rPr>
          <w:rFonts w:ascii="Times New Roman;serif" w:hAnsi="Times New Roman;serif"/>
          <w:b/>
          <w:color w:val="000000"/>
          <w:sz w:val="24"/>
        </w:rPr>
      </w:pPr>
      <w:r>
        <w:rPr>
          <w:rFonts w:ascii="Times New Roman;serif" w:hAnsi="Times New Roman;serif"/>
          <w:b/>
          <w:color w:val="000000"/>
          <w:sz w:val="24"/>
        </w:rPr>
        <w:t>FIGURE TECHNOLOGIES, INC. CONFLICT OF INTEREST GUIDELINES</w:t>
      </w:r>
    </w:p>
    <w:p>
      <w:pPr>
        <w:pStyle w:val="TextBody"/>
        <w:bidi w:val="0"/>
        <w:spacing w:lineRule="auto" w:line="288" w:before="275" w:after="283"/>
        <w:ind w:left="0" w:right="0" w:firstLine="717"/>
        <w:jc w:val="both"/>
        <w:rPr>
          <w:rFonts w:ascii="Times New Roman;serif" w:hAnsi="Times New Roman;serif"/>
          <w:b w:val="false"/>
          <w:color w:val="000000"/>
          <w:sz w:val="20"/>
        </w:rPr>
      </w:pPr>
      <w:r>
        <w:rPr>
          <w:rFonts w:ascii="Times New Roman;serif" w:hAnsi="Times New Roman;serif"/>
          <w:b w:val="false"/>
          <w:color w:val="000000"/>
          <w:sz w:val="20"/>
        </w:rPr>
        <w:t>It is the policy of Figure Technologies, Inc. to conduct its affairs in strict compliance with the letter and spirit of the law and to adhere to the highest principles of business ethics. Accordingly, all officers, employees, and independent contractors must avoid activities that are in conflict, or give the appearance of being in conflict, with these principles and with the interests of the Company. The following are potentially compromising situations that must be avoided:</w:t>
      </w:r>
    </w:p>
    <w:p>
      <w:pPr>
        <w:pStyle w:val="TextBody"/>
        <w:bidi w:val="0"/>
        <w:spacing w:lineRule="auto" w:line="288" w:before="230" w:after="283"/>
        <w:jc w:val="both"/>
        <w:rPr>
          <w:rFonts w:ascii="Times New Roman;serif" w:hAnsi="Times New Roman;serif"/>
          <w:b w:val="false"/>
          <w:color w:val="000000"/>
          <w:sz w:val="20"/>
        </w:rPr>
      </w:pPr>
      <w:r>
        <w:rPr>
          <w:rFonts w:ascii="Times New Roman;serif" w:hAnsi="Times New Roman;serif"/>
          <w:b w:val="false"/>
          <w:color w:val="000000"/>
          <w:sz w:val="20"/>
        </w:rPr>
        <w:t>1.Revealing confidential information to outsiders or misusing confidential information. Unauthorized divulging of information is a violation of this policy whether or not for personal gain and whether or not harm to the Company is intended. (The Confidential Information and Invention Assignment Agreement elaborates on this principle and is a binding agreement.)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2.Accepting or offering substantial gifts, excessive entertainment, favors, or payments that may be deemed to constitute undue influence or otherwise be improper or embarrassing to the Company.</w:t>
      </w:r>
    </w:p>
    <w:p>
      <w:pPr>
        <w:pStyle w:val="TextBody"/>
        <w:bidi w:val="0"/>
        <w:spacing w:lineRule="auto" w:line="288" w:before="229" w:after="283"/>
        <w:jc w:val="both"/>
        <w:rPr>
          <w:rFonts w:ascii="Times New Roman;serif" w:hAnsi="Times New Roman;serif"/>
          <w:b w:val="false"/>
          <w:color w:val="000000"/>
          <w:sz w:val="20"/>
        </w:rPr>
      </w:pPr>
      <w:r>
        <w:rPr>
          <w:rFonts w:ascii="Times New Roman;serif" w:hAnsi="Times New Roman;serif"/>
          <w:b w:val="false"/>
          <w:color w:val="000000"/>
          <w:sz w:val="20"/>
        </w:rPr>
        <w:t>3.Participating in civic or professional organizations that might involve divulging confidential information of the Company.</w:t>
      </w:r>
    </w:p>
    <w:p>
      <w:pPr>
        <w:pStyle w:val="TextBody"/>
        <w:bidi w:val="0"/>
        <w:spacing w:before="1" w:after="283"/>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4.Initiating or approving personnel actions affecting reward or punishment of employees or applicants where there is a family relationship or is or appears to be a personal or social involvement.</w:t>
      </w:r>
    </w:p>
    <w:p>
      <w:pPr>
        <w:pStyle w:val="TextBody"/>
        <w:bidi w:val="0"/>
        <w:spacing w:lineRule="auto" w:line="288" w:before="229" w:after="283"/>
        <w:ind w:left="0" w:right="0" w:hanging="722"/>
        <w:jc w:val="both"/>
        <w:rPr>
          <w:rFonts w:ascii="Times New Roman;serif" w:hAnsi="Times New Roman;serif"/>
          <w:b w:val="false"/>
          <w:color w:val="000000"/>
          <w:sz w:val="20"/>
        </w:rPr>
      </w:pPr>
      <w:r>
        <w:rPr>
          <w:rFonts w:ascii="Times New Roman;serif" w:hAnsi="Times New Roman;serif"/>
          <w:b w:val="false"/>
          <w:color w:val="000000"/>
          <w:sz w:val="20"/>
        </w:rPr>
        <w:t>5.Initiating or approving any form of personal or social harassment of employees.</w:t>
      </w:r>
    </w:p>
    <w:p>
      <w:pPr>
        <w:pStyle w:val="TextBody"/>
        <w:bidi w:val="0"/>
        <w:spacing w:before="1" w:after="283"/>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6.Investing or holding outside directorship in suppliers, customers, or competing companies, including financial speculations, where such investment or directorship might influence in any manner a decision or course of action of the Company.</w:t>
      </w:r>
    </w:p>
    <w:p>
      <w:pPr>
        <w:pStyle w:val="TextBody"/>
        <w:bidi w:val="0"/>
        <w:spacing w:lineRule="auto" w:line="288" w:before="229" w:after="283"/>
        <w:ind w:left="0" w:right="0" w:hanging="722"/>
        <w:jc w:val="both"/>
        <w:rPr>
          <w:rFonts w:ascii="Times New Roman;serif" w:hAnsi="Times New Roman;serif"/>
          <w:b w:val="false"/>
          <w:color w:val="000000"/>
          <w:sz w:val="20"/>
        </w:rPr>
      </w:pPr>
      <w:r>
        <w:rPr>
          <w:rFonts w:ascii="Times New Roman;serif" w:hAnsi="Times New Roman;serif"/>
          <w:b w:val="false"/>
          <w:color w:val="000000"/>
          <w:sz w:val="20"/>
        </w:rPr>
        <w:t>7.Borrowing from or lending to employees, customers, or suppliers.</w:t>
      </w:r>
    </w:p>
    <w:p>
      <w:pPr>
        <w:pStyle w:val="TextBody"/>
        <w:bidi w:val="0"/>
        <w:spacing w:before="3" w:after="283"/>
        <w:jc w:val="left"/>
        <w:rPr/>
      </w:pPr>
      <w:r>
        <w:rPr/>
      </w:r>
    </w:p>
    <w:p>
      <w:pPr>
        <w:pStyle w:val="TextBody"/>
        <w:bidi w:val="0"/>
        <w:spacing w:lineRule="auto" w:line="288" w:before="1" w:after="283"/>
        <w:ind w:left="0" w:right="0" w:hanging="722"/>
        <w:jc w:val="both"/>
        <w:rPr>
          <w:rFonts w:ascii="Times New Roman;serif" w:hAnsi="Times New Roman;serif"/>
          <w:b w:val="false"/>
          <w:color w:val="000000"/>
          <w:sz w:val="20"/>
        </w:rPr>
      </w:pPr>
      <w:r>
        <w:rPr>
          <w:rFonts w:ascii="Times New Roman;serif" w:hAnsi="Times New Roman;serif"/>
          <w:b w:val="false"/>
          <w:color w:val="000000"/>
          <w:sz w:val="20"/>
        </w:rPr>
        <w:t>8.Acquiring real estate of interest to the Company.</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9.Improperly using or disclosing to the Company any proprietary information or trade secrets of any former or concurrent employer or other person or entity with whom obligations of confidentiality exist.</w:t>
      </w:r>
    </w:p>
    <w:p>
      <w:pPr>
        <w:pStyle w:val="TextBody"/>
        <w:bidi w:val="0"/>
        <w:spacing w:lineRule="auto" w:line="288" w:before="229" w:after="283"/>
        <w:jc w:val="both"/>
        <w:rPr>
          <w:rFonts w:ascii="Times New Roman;serif" w:hAnsi="Times New Roman;serif"/>
          <w:b w:val="false"/>
          <w:color w:val="000000"/>
          <w:sz w:val="20"/>
        </w:rPr>
      </w:pPr>
      <w:r>
        <w:rPr>
          <w:rFonts w:ascii="Times New Roman;serif" w:hAnsi="Times New Roman;serif"/>
          <w:b w:val="false"/>
          <w:color w:val="000000"/>
          <w:sz w:val="20"/>
        </w:rPr>
        <w:t>10.Unlawfully discussing prices, costs, customers, sales, or markets with competing companies or their employees.</w:t>
      </w:r>
    </w:p>
    <w:p>
      <w:pPr>
        <w:pStyle w:val="TextBody"/>
        <w:bidi w:val="0"/>
        <w:spacing w:lineRule="auto" w:line="288" w:before="229"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11.Making any unlawful agreement with distributors with respect to prices.</w:t>
      </w:r>
    </w:p>
    <w:p>
      <w:pPr>
        <w:pStyle w:val="TextBody"/>
        <w:bidi w:val="0"/>
        <w:spacing w:before="1" w:after="283"/>
        <w:jc w:val="left"/>
        <w:rPr/>
      </w:pPr>
      <w:r>
        <w:rPr/>
      </w:r>
    </w:p>
    <w:p>
      <w:pPr>
        <w:pStyle w:val="TextBody"/>
        <w:bidi w:val="0"/>
        <w:spacing w:lineRule="auto" w:line="288" w:before="1" w:after="283"/>
        <w:jc w:val="both"/>
        <w:rPr>
          <w:rFonts w:ascii="Times New Roman;serif" w:hAnsi="Times New Roman;serif"/>
          <w:b w:val="false"/>
          <w:color w:val="000000"/>
          <w:sz w:val="20"/>
        </w:rPr>
      </w:pPr>
      <w:r>
        <w:rPr>
          <w:rFonts w:ascii="Times New Roman;serif" w:hAnsi="Times New Roman;serif"/>
          <w:b w:val="false"/>
          <w:color w:val="000000"/>
          <w:sz w:val="20"/>
        </w:rPr>
        <w:t>12.Improperly using or authorizing the use of any inventions that are the subject of patent claims of any other person or entity.</w:t>
      </w:r>
    </w:p>
    <w:p>
      <w:pPr>
        <w:pStyle w:val="TextBody"/>
        <w:bidi w:val="0"/>
        <w:spacing w:before="1" w:after="283"/>
        <w:jc w:val="left"/>
        <w:rPr/>
      </w:pPr>
      <w:r>
        <w:rPr/>
      </w:r>
    </w:p>
    <w:p>
      <w:pPr>
        <w:pStyle w:val="TextBody"/>
        <w:bidi w:val="0"/>
        <w:spacing w:lineRule="atLeast" w:line="229"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13.Engaging in any conduct that is not in the best interest of the Company.</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Each officer, employee, and independent contractor must take every necessary action to ensure compliance with these guidelines and to bring problem areas to the attention of higher management for review. Violations of this conflict of interest policy may result in discharge without warning. I understand that nothing in this Agreement is intended to limit employees’ rights to discuss the terms, wages, and working conditions of their employment, as protected by applicable law.</w:t>
      </w:r>
    </w:p>
    <w:p>
      <w:pPr>
        <w:pStyle w:val="TextBody"/>
        <w:bidi w:val="0"/>
        <w:jc w:val="both"/>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6480175" cy="175260"/>
                <wp:effectExtent l="0" t="0" r="0" b="0"/>
                <wp:wrapNone/>
                <wp:docPr id="260" name="Frame2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203"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Exhibit 2</w:t>
      </w:r>
    </w:p>
    <w:p>
      <w:pPr>
        <w:pStyle w:val="TextBody"/>
        <w:bidi w:val="0"/>
        <w:spacing w:lineRule="auto" w:line="288" w:before="122" w:after="283"/>
        <w:jc w:val="center"/>
        <w:rPr>
          <w:rFonts w:ascii="Times New Roman;serif" w:hAnsi="Times New Roman;serif"/>
          <w:b/>
          <w:color w:val="000000"/>
          <w:sz w:val="24"/>
          <w:u w:val="single"/>
        </w:rPr>
      </w:pPr>
      <w:r>
        <w:rPr>
          <w:rFonts w:ascii="Times New Roman;serif" w:hAnsi="Times New Roman;serif"/>
          <w:b/>
          <w:color w:val="000000"/>
          <w:sz w:val="24"/>
          <w:u w:val="single"/>
        </w:rPr>
        <w:t>MUTUAL AGREEMENT TO ARBITRATE</w:t>
      </w:r>
    </w:p>
    <w:p>
      <w:pPr>
        <w:pStyle w:val="TextBody"/>
        <w:bidi w:val="0"/>
        <w:spacing w:lineRule="auto" w:line="288" w:before="117"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 recognize that differences may arise between Figure Technologies, Inc. (the “Company”) and me during or following my employment with the Company. In consideration of my employment or my continued employment with the Company, its promise to arbitrate all employment-related disputes, and my receipt of the compensation, pay raises, and other benefits paid to me by the Company, at present and in the future, I agree that any and all controversies, claims, or disputes with the Company (including, without limitation, any employee, officer, director, shareholder, or benefit plan of the Company, in their capacity as such or otherwise), arising out of, relating to, or resulting from my employment with the Company or the termination of my employment with the Company, including any breach of this Mutual Agreement to Arbitrate (this “Arbitration Agreement”), shall be subject to binding arbitration Both parties agree that the Company is engaged in interstate commerce and that this Arbitration Agreement is enforceable under the Federal Arbitration Act, 9 U.S.C.</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§1 et seq. (the “FAA”). If the FAA is found not to apply, then this Arbitration Agreement is enforceable under the laws of the state in which I was assigned to work for Figure at the time I received this Arbitration Agreement. However, both parties agree that there will be no right to bring any dispute covered by this Arbitration Agreement as a class or collective action, as specified in Paragraph 3 below.</w:t>
      </w:r>
    </w:p>
    <w:p>
      <w:pPr>
        <w:pStyle w:val="TextBody"/>
        <w:bidi w:val="0"/>
        <w:spacing w:lineRule="auto" w:line="288" w:before="229" w:after="283"/>
        <w:ind w:left="0" w:right="0" w:firstLine="720"/>
        <w:jc w:val="both"/>
        <w:rPr/>
      </w:pPr>
      <w:r>
        <w:rPr>
          <w:rFonts w:ascii="Times New Roman;serif" w:hAnsi="Times New Roman;serif"/>
          <w:b w:val="false"/>
          <w:color w:val="000000"/>
          <w:sz w:val="20"/>
        </w:rPr>
        <w:t>1.</w:t>
      </w:r>
      <w:r>
        <w:rPr>
          <w:rFonts w:ascii="Times New Roman;serif" w:hAnsi="Times New Roman;serif"/>
          <w:b/>
          <w:color w:val="000000"/>
          <w:sz w:val="20"/>
          <w:u w:val="single"/>
        </w:rPr>
        <w:t>Parties:</w:t>
      </w:r>
      <w:r>
        <w:rPr>
          <w:color w:val="000000"/>
        </w:rPr>
        <w:t xml:space="preserve"> </w:t>
      </w:r>
      <w:r>
        <w:rPr>
          <w:rFonts w:ascii="Times New Roman;serif" w:hAnsi="Times New Roman;serif"/>
          <w:b w:val="false"/>
          <w:color w:val="000000"/>
          <w:sz w:val="20"/>
        </w:rPr>
        <w:t>The Parties involved in this Agreement are Figure, its officers, directors, agents, employees, parents, subsidiaries, and affiliated entities (collectively, “Figure”), and myself (“Employee”). Figure and Employee are collectively referred to herein as the Parties.</w:t>
      </w:r>
    </w:p>
    <w:p>
      <w:pPr>
        <w:pStyle w:val="TextBody"/>
        <w:bidi w:val="0"/>
        <w:spacing w:before="2" w:after="283"/>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2.</w:t>
      </w:r>
      <w:r>
        <w:rPr>
          <w:rFonts w:ascii="Times New Roman;serif" w:hAnsi="Times New Roman;serif"/>
          <w:b/>
          <w:color w:val="000000"/>
          <w:sz w:val="20"/>
          <w:u w:val="single"/>
        </w:rPr>
        <w:t>Claims Covered by this Agreement</w:t>
      </w:r>
      <w:r>
        <w:rPr>
          <w:rFonts w:ascii="Times New Roman;serif" w:hAnsi="Times New Roman;serif"/>
          <w:b w:val="false"/>
          <w:color w:val="000000"/>
          <w:sz w:val="20"/>
        </w:rPr>
        <w:t>: To the extent authorized by law, the Parties mutually agree to the resolution by binding arbitration of all claims or causes of action that the Employee may have against Figure, or Figure against Employee (collectively "claims") arising out of the employment relationship or the termination of the employment relationship. The claims covered by this Agreement include, but are not limited to, claims for breach of any contract or covenant (express or implied); tort claims; claims for discrimination (including, but not limited to, race, sex, gender, sexual harassment, or any type of unlawful harassment, religion, national origin, age, marital status, medical condition, disability or sexual orientation); claims for wrongful termination in violation of public policy; claims for retaliation; and, claims for violation of any law, statute, regulation or ordinance, including, but not limited to, all claims arising under Title VII of the Civil Rights Act of 1969, as amended, the Age Discrimination in Employment Act of 1967, the Americans with Disabilities Act, the Family and Medical Leave Act, the California Fair Employment &amp; Housing Act, the California Wage Orders and the California Labor Code (excepting only representative claims under PAGA), and the Fair Labor Standards Act. All claims for injunctive and/or other equitable relief shall be covered by this Agreement. However, the Parties retain the right to seek provisional injunctive relief in Court where appropriate to protect the Parties’ rights pending arbitration.</w:t>
      </w:r>
    </w:p>
    <w:p>
      <w:pPr>
        <w:pStyle w:val="TextBody"/>
        <w:bidi w:val="0"/>
        <w:spacing w:before="1" w:after="283"/>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Nothing in this Agreement precludes Employee from filing a charge or from participating in an administrative investigation of a charge before an appropriate government agency such as the Equal Employment Opportunity Commission, the California Department of Fair Employment and Housing, the National Labor Relations Board or similar state agency. Nothing in this Arbitration Agreement alters any obligation or prerequisite to exhaust administrative remedies before asserting a claim in arbitration.</w:t>
      </w:r>
    </w:p>
    <w:p>
      <w:pPr>
        <w:pStyle w:val="TextBody"/>
        <w:bidi w:val="0"/>
        <w:spacing w:before="0" w:after="0"/>
        <w:jc w:val="left"/>
        <w:rPr/>
      </w:pPr>
      <w:r>
        <w:rPr/>
      </w:r>
    </w:p>
    <w:p>
      <w:pPr>
        <w:pStyle w:val="TextBody"/>
        <w:bidi w:val="0"/>
        <w:spacing w:before="1" w:after="283"/>
        <w:jc w:val="left"/>
        <w:rPr/>
      </w:pPr>
      <w:r>
        <w:rPr/>
      </w:r>
    </w:p>
    <w:p>
      <w:pPr>
        <w:pStyle w:val="TextBody"/>
        <w:bidi w:val="0"/>
        <w:spacing w:lineRule="auto" w:line="288" w:before="1" w:after="283"/>
        <w:ind w:left="0" w:right="0" w:firstLine="720"/>
        <w:jc w:val="both"/>
        <w:rPr/>
      </w:pPr>
      <w:r>
        <w:rPr>
          <w:rFonts w:ascii="Times New Roman;serif" w:hAnsi="Times New Roman;serif"/>
          <w:b w:val="false"/>
          <w:color w:val="000000"/>
          <w:sz w:val="20"/>
        </w:rPr>
        <w:t>3.</w:t>
      </w:r>
      <w:r>
        <w:rPr>
          <w:rFonts w:ascii="Times New Roman;serif" w:hAnsi="Times New Roman;serif"/>
          <w:b/>
          <w:color w:val="000000"/>
          <w:sz w:val="20"/>
          <w:u w:val="single"/>
        </w:rPr>
        <w:t>Claims Not Covered by the Agreement:</w:t>
      </w:r>
      <w:r>
        <w:rPr>
          <w:color w:val="000000"/>
        </w:rPr>
        <w:t xml:space="preserve"> </w:t>
      </w:r>
      <w:r>
        <w:rPr>
          <w:rFonts w:ascii="Times New Roman;serif" w:hAnsi="Times New Roman;serif"/>
          <w:b w:val="false"/>
          <w:color w:val="000000"/>
          <w:sz w:val="20"/>
        </w:rPr>
        <w:t>This Agreement does not cover claims Employee may have for workers' compensation, unemployment compensation benefits, or any other claims found not subject to mandatory arbitration by governing law.</w:t>
      </w:r>
    </w:p>
    <w:p>
      <w:pPr>
        <w:pStyle w:val="TextBody"/>
        <w:bidi w:val="0"/>
        <w:spacing w:lineRule="auto" w:line="288" w:before="229"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Additionally, Figure and Employee agree that, to the full extent permitted by law, neither the Employee nor Figure shall have a right to: (a) arbitrate any claim on a class, collective, or purported representative basis, on behalf of any of Figure’s workers, employees, applicants or other persons similarly situated; (b) join or consolidate in any arbitration claims brought by or against another worker, employee, applicant or Figure, unless agreed to in writing by all parties; (c) litigate any claims in court or to have a jury trial on any claims covered by this Agreement; and/or (d) participate as a member of any class of claimants in an action in a court of law pertaining to any claims encompassed by this Agreement. In no circumstance shall an arbitrator have authority to preside over any claim on a collective, representative, or class basis. No remedies that would otherwise be available to the Parties individually in a court of law are being forfeited under this Agreement.</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6480175" cy="175260"/>
                <wp:effectExtent l="0" t="0" r="0" b="0"/>
                <wp:wrapNone/>
                <wp:docPr id="261" name="Frame2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82" w:after="283"/>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the event of a dispute between the parties that is determined to involve arbitrable claims and non-arbitrable claims, Figure and Employee agree that the arbitrable claims shall be resolved first in arbitration and the non-arbitrable claims stayed pending completion of the arbitration. Any gateway disputes regarding the enforceability of this Agreement or whether a particular claim is subject to this Agreement shall be resolved by a court of law.</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4.</w:t>
      </w:r>
      <w:r>
        <w:rPr>
          <w:rFonts w:ascii="Times New Roman;serif" w:hAnsi="Times New Roman;serif"/>
          <w:b/>
          <w:color w:val="000000"/>
          <w:sz w:val="20"/>
          <w:u w:val="single"/>
        </w:rPr>
        <w:t>Required Notice of All Claims</w:t>
      </w:r>
      <w:r>
        <w:rPr>
          <w:rFonts w:ascii="Times New Roman;serif" w:hAnsi="Times New Roman;serif"/>
          <w:b w:val="false"/>
          <w:color w:val="000000"/>
          <w:sz w:val="20"/>
        </w:rPr>
        <w:t>: The party seeking to raise any claim(s) under this Agreement must file and serve a demand for arbitration describing the nature of the claims asserted and the facts upon which those claims are based, within the statute of limitations period applicable to the claim(s). The Parties may mutually agree to participate in mediation in an effort to resolve the dispute prior to arbitration. If the Parties agree to mediate prior to a demand for arbitration being filed, the Parties agree that the statute of limitations shall be tolled pending completion of the mediation.</w:t>
      </w:r>
    </w:p>
    <w:p>
      <w:pPr>
        <w:pStyle w:val="TextBody"/>
        <w:bidi w:val="0"/>
        <w:spacing w:lineRule="atLeast" w:line="460" w:before="49" w:after="283"/>
        <w:jc w:val="left"/>
        <w:rPr>
          <w:rFonts w:ascii="Times New Roman;serif" w:hAnsi="Times New Roman;serif"/>
          <w:b w:val="false"/>
          <w:color w:val="000000"/>
          <w:sz w:val="20"/>
        </w:rPr>
      </w:pPr>
      <w:r>
        <w:rPr>
          <w:rFonts w:ascii="Times New Roman;serif" w:hAnsi="Times New Roman;serif"/>
          <w:b w:val="false"/>
          <w:color w:val="000000"/>
          <w:sz w:val="20"/>
        </w:rPr>
        <w:t>Any Notice of Claim shall be provided to Figure at the following address: Figure</w:t>
      </w:r>
    </w:p>
    <w:p>
      <w:pPr>
        <w:pStyle w:val="TextBody"/>
        <w:bidi w:val="0"/>
        <w:spacing w:lineRule="atLeast" w:line="183" w:before="0" w:after="0"/>
        <w:jc w:val="left"/>
        <w:rPr>
          <w:rFonts w:ascii="Times New Roman;serif" w:hAnsi="Times New Roman;serif"/>
          <w:b w:val="false"/>
          <w:color w:val="000000"/>
          <w:sz w:val="18"/>
        </w:rPr>
      </w:pPr>
      <w:r>
        <w:rPr>
          <w:rFonts w:ascii="Times New Roman;serif" w:hAnsi="Times New Roman;serif"/>
          <w:b w:val="false"/>
          <w:color w:val="000000"/>
          <w:sz w:val="18"/>
        </w:rPr>
        <w:t>Attn: Douglas Burns, Chief People Officer</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650 California Street, Suite 2700 San Francisco, CA 94108</w:t>
      </w:r>
    </w:p>
    <w:p>
      <w:pPr>
        <w:pStyle w:val="TextBody"/>
        <w:bidi w:val="0"/>
        <w:spacing w:before="227" w:after="283"/>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Any Notice of Claim shall be provided to Employee at the most updated address contained in Employee’s personnel file, unless otherwise designated by Employee.</w:t>
      </w:r>
    </w:p>
    <w:p>
      <w:pPr>
        <w:pStyle w:val="TextBody"/>
        <w:bidi w:val="0"/>
        <w:spacing w:before="0" w:after="0"/>
        <w:jc w:val="left"/>
        <w:rPr/>
      </w:pPr>
      <w:r>
        <w:rPr/>
      </w:r>
    </w:p>
    <w:p>
      <w:pPr>
        <w:pStyle w:val="TextBody"/>
        <w:bidi w:val="0"/>
        <w:spacing w:before="2" w:after="283"/>
        <w:jc w:val="left"/>
        <w:rPr/>
      </w:pPr>
      <w:r>
        <w:rPr/>
      </w:r>
    </w:p>
    <w:p>
      <w:pPr>
        <w:pStyle w:val="TextBody"/>
        <w:bidi w:val="0"/>
        <w:spacing w:lineRule="auto" w:line="288" w:before="0" w:after="0"/>
        <w:ind w:left="0" w:right="0" w:hanging="252"/>
        <w:jc w:val="left"/>
        <w:rPr/>
      </w:pPr>
      <w:r>
        <w:rPr>
          <w:rFonts w:ascii="Times New Roman;serif" w:hAnsi="Times New Roman;serif"/>
          <w:b w:val="false"/>
          <w:color w:val="000000"/>
          <w:sz w:val="20"/>
        </w:rPr>
        <w:t>5.</w:t>
      </w:r>
      <w:r>
        <w:rPr>
          <w:rFonts w:ascii="Times New Roman;serif" w:hAnsi="Times New Roman;serif"/>
          <w:b/>
          <w:color w:val="000000"/>
          <w:sz w:val="20"/>
          <w:u w:val="single"/>
        </w:rPr>
        <w:t>Arbitration Procedures</w:t>
      </w:r>
      <w:r>
        <w:rPr>
          <w:rFonts w:ascii="Times New Roman;serif" w:hAnsi="Times New Roman;serif"/>
          <w:b w:val="false"/>
          <w:color w:val="000000"/>
          <w:sz w:val="20"/>
        </w:rPr>
        <w:t>:</w:t>
      </w:r>
    </w:p>
    <w:p>
      <w:pPr>
        <w:pStyle w:val="TextBody"/>
        <w:bidi w:val="0"/>
        <w:spacing w:before="1" w:after="283"/>
        <w:jc w:val="left"/>
        <w:rPr/>
      </w:pPr>
      <w:r>
        <w:rPr/>
      </w:r>
    </w:p>
    <w:p>
      <w:pPr>
        <w:pStyle w:val="TextBody"/>
        <w:bidi w:val="0"/>
        <w:spacing w:lineRule="auto" w:line="288" w:before="0" w:after="0"/>
        <w:ind w:left="0" w:right="0" w:hanging="1010"/>
        <w:jc w:val="left"/>
        <w:rPr>
          <w:rFonts w:ascii="Times New Roman;serif" w:hAnsi="Times New Roman;serif"/>
          <w:b w:val="false"/>
          <w:color w:val="000000"/>
          <w:sz w:val="20"/>
        </w:rPr>
      </w:pPr>
      <w:r>
        <w:rPr>
          <w:rFonts w:ascii="Times New Roman;serif" w:hAnsi="Times New Roman;serif"/>
          <w:b w:val="false"/>
          <w:color w:val="000000"/>
          <w:sz w:val="20"/>
        </w:rPr>
        <w:t>(a)Applicable Rules</w:t>
      </w:r>
    </w:p>
    <w:p>
      <w:pPr>
        <w:pStyle w:val="TextBody"/>
        <w:bidi w:val="0"/>
        <w:spacing w:before="0" w:after="0"/>
        <w:jc w:val="left"/>
        <w:rPr/>
      </w:pPr>
      <w:r>
        <w:rPr/>
      </w:r>
    </w:p>
    <w:p>
      <w:pPr>
        <w:pStyle w:val="TextBody"/>
        <w:bidi w:val="0"/>
        <w:spacing w:lineRule="auto" w:line="288" w:before="1" w:after="283"/>
        <w:ind w:left="0" w:right="0" w:firstLine="720"/>
        <w:jc w:val="left"/>
        <w:rPr/>
      </w:pPr>
      <w:r>
        <w:rPr>
          <w:rFonts w:ascii="Times New Roman;serif" w:hAnsi="Times New Roman;serif"/>
          <w:b w:val="false"/>
          <w:color w:val="000000"/>
          <w:sz w:val="20"/>
        </w:rPr>
        <w:t xml:space="preserve">Any arbitration under this Agreement shall be conducted pursuant to the Employment Arbitration Rules of JAMS (“JAMS Rules”). These Rules are available for review on JAMS’ website at </w:t>
      </w:r>
      <w:r>
        <w:rPr>
          <w:rFonts w:ascii="Times New Roman;serif" w:hAnsi="Times New Roman;serif"/>
          <w:b w:val="false"/>
          <w:color w:val="000000"/>
          <w:sz w:val="20"/>
          <w:u w:val="single"/>
        </w:rPr>
        <w:t>https://www.jamsadr.com/rules-employment-arbitration/</w:t>
      </w:r>
      <w:r>
        <w:rPr>
          <w:rFonts w:ascii="Times New Roman;serif" w:hAnsi="Times New Roman;serif"/>
          <w:b w:val="false"/>
          <w:color w:val="000000"/>
          <w:sz w:val="20"/>
        </w:rPr>
        <w:t>. A copy will also be provided upon request to Human Resources. The arbitration shall take place at the JAMS office in the metropolitan area where the Employee works or worked for Figure, unless the Parties mutually agree to conduct the arbitration elsewhere. If there is any discrepancy between the JAMS Rules and this Agreement, this Agreement shall prevail.</w:t>
      </w:r>
    </w:p>
    <w:p>
      <w:pPr>
        <w:pStyle w:val="TextBody"/>
        <w:bidi w:val="0"/>
        <w:spacing w:lineRule="auto" w:line="288" w:before="228" w:after="283"/>
        <w:ind w:left="0" w:right="0" w:hanging="1010"/>
        <w:jc w:val="left"/>
        <w:rPr>
          <w:rFonts w:ascii="Times New Roman;serif" w:hAnsi="Times New Roman;serif"/>
          <w:b w:val="false"/>
          <w:color w:val="000000"/>
          <w:sz w:val="20"/>
        </w:rPr>
      </w:pPr>
      <w:r>
        <w:rPr>
          <w:rFonts w:ascii="Times New Roman;serif" w:hAnsi="Times New Roman;serif"/>
          <w:b w:val="false"/>
          <w:color w:val="000000"/>
          <w:sz w:val="20"/>
        </w:rPr>
        <w:t>(b)Selection of Neutral Arbitrator and Scope of Authority</w:t>
      </w:r>
    </w:p>
    <w:p>
      <w:pPr>
        <w:pStyle w:val="TextBody"/>
        <w:bidi w:val="0"/>
        <w:spacing w:before="1" w:after="283"/>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arbitrator shall be a neutral arbitrator, selected by the agreement of the parties, who has previous experience arbitrating California employment law disputes. If the parties cannot agree on a neutral arbitrator, Employee and Figure will use the strike and ranking method provided for under JAMS rules.</w:t>
      </w:r>
    </w:p>
    <w:p>
      <w:pPr>
        <w:pStyle w:val="TextBody"/>
        <w:bidi w:val="0"/>
        <w:spacing w:before="1" w:after="283"/>
        <w:jc w:val="left"/>
        <w:rPr/>
      </w:pPr>
      <w:r>
        <w:rPr/>
      </w:r>
    </w:p>
    <w:p>
      <w:pPr>
        <w:pStyle w:val="TextBody"/>
        <w:bidi w:val="0"/>
        <w:spacing w:lineRule="auto" w:line="288" w:before="1"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interpretation and enforceability of this Agreement shall be governed by the Federal Arbitration Act. The arbitrator shall apply the applicable statute of limitations to all claims covered under this Agreement. The arbitrator shall apply the substantive state or federal law (and the law of remedies, if applicable) as applicable to the claim(s) asserted that would otherwise be available in a court of law. Furthermore, the parties shall have the right to file dispositive motions such as motions for summary judgment or summary adjudication.</w:t>
      </w:r>
    </w:p>
    <w:p>
      <w:pPr>
        <w:pStyle w:val="TextBody"/>
        <w:bidi w:val="0"/>
        <w:spacing w:before="0" w:after="0"/>
        <w:jc w:val="left"/>
        <w:rPr/>
      </w:pPr>
      <w:r>
        <w:rPr/>
      </w:r>
    </w:p>
    <w:p>
      <w:pPr>
        <w:pStyle w:val="TextBody"/>
        <w:bidi w:val="0"/>
        <w:spacing w:lineRule="auto" w:line="288" w:before="0" w:after="0"/>
        <w:ind w:left="0" w:right="0" w:hanging="1010"/>
        <w:jc w:val="left"/>
        <w:rPr>
          <w:rFonts w:ascii="Times New Roman;serif" w:hAnsi="Times New Roman;serif"/>
          <w:b w:val="false"/>
          <w:color w:val="000000"/>
          <w:sz w:val="20"/>
        </w:rPr>
      </w:pPr>
      <w:r>
        <w:rPr>
          <w:rFonts w:ascii="Times New Roman;serif" w:hAnsi="Times New Roman;serif"/>
          <w:b w:val="false"/>
          <w:color w:val="000000"/>
          <w:sz w:val="20"/>
        </w:rPr>
        <w:t>(c)Discovery</w:t>
      </w:r>
    </w:p>
    <w:p>
      <w:pPr>
        <w:pStyle w:val="TextBody"/>
        <w:bidi w:val="0"/>
        <w:spacing w:lineRule="auto" w:line="288" w:before="229"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Parties agree that reasonable discovery is essential to the just resolution of any claims which may be covered by this Agreement. Accordingly, nothing in this Agreement or in the JAMS Rules shall be interpreted to limit the Parties' rights to reasonable discovery. Rather, reasonable discovery shall be allowed that is sufficient to ensure the adequate arbitration of any claims covered by this Agreement. Generally, the Parties agree that reasonable discovery means up to three depositions per side, one set of requests for production of documents with up to 35 requests, and one set of interrogatories with up to 25 requests. In the event that the Parties believe this scope of discovery is inadequate, the Parties shall meet and confer and try to reach agreement on the scope of discovery and the arbitrator shall have discretion to</w:t>
      </w:r>
    </w:p>
    <w:p>
      <w:pPr>
        <w:pStyle w:val="TextBody"/>
        <w:bidi w:val="0"/>
        <w:spacing w:before="0" w:after="283"/>
        <w:jc w:val="left"/>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6480175" cy="175260"/>
                <wp:effectExtent l="0" t="0" r="0" b="0"/>
                <wp:wrapNone/>
                <wp:docPr id="262" name="Frame2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82" w:after="283"/>
        <w:jc w:val="left"/>
        <w:rPr>
          <w:rFonts w:ascii="Times New Roman;serif" w:hAnsi="Times New Roman;serif"/>
          <w:b w:val="false"/>
          <w:color w:val="000000"/>
          <w:sz w:val="20"/>
        </w:rPr>
      </w:pPr>
      <w:r>
        <w:rPr>
          <w:rFonts w:ascii="Times New Roman;serif" w:hAnsi="Times New Roman;serif"/>
          <w:b w:val="false"/>
          <w:color w:val="000000"/>
          <w:sz w:val="20"/>
        </w:rPr>
        <w:t>resolve any disagreement concerning the scope of discovery and to allow discovery determined by the arbitrator to be reasonably necessary to the just resolution of the dispute considering the streamlined nature and purpose of arbitration.</w:t>
      </w:r>
    </w:p>
    <w:p>
      <w:pPr>
        <w:pStyle w:val="TextBody"/>
        <w:bidi w:val="0"/>
        <w:spacing w:lineRule="auto" w:line="288" w:before="229" w:after="283"/>
        <w:ind w:left="0" w:right="0" w:hanging="1010"/>
        <w:jc w:val="left"/>
        <w:rPr>
          <w:rFonts w:ascii="Times New Roman;serif" w:hAnsi="Times New Roman;serif"/>
          <w:b w:val="false"/>
          <w:color w:val="000000"/>
          <w:sz w:val="20"/>
        </w:rPr>
      </w:pPr>
      <w:r>
        <w:rPr>
          <w:rFonts w:ascii="Times New Roman;serif" w:hAnsi="Times New Roman;serif"/>
          <w:b w:val="false"/>
          <w:color w:val="000000"/>
          <w:sz w:val="20"/>
        </w:rPr>
        <w:t>(d)Written Opinion and Award</w:t>
      </w:r>
    </w:p>
    <w:p>
      <w:pPr>
        <w:pStyle w:val="TextBody"/>
        <w:bidi w:val="0"/>
        <w:spacing w:before="0" w:after="0"/>
        <w:jc w:val="left"/>
        <w:rPr/>
      </w:pPr>
      <w:r>
        <w:rPr/>
      </w:r>
    </w:p>
    <w:p>
      <w:pPr>
        <w:pStyle w:val="TextBody"/>
        <w:bidi w:val="0"/>
        <w:spacing w:lineRule="auto" w:line="288" w:before="1"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neutral arbitrator shall issue a written opinion and award, which shall be signed and dated. The arbitrator's decision regarding the claims shall be final and binding upon the Parties. The arbitrator's award shall be enforceable in any court having proper jurisdiction. The Parties' appeal rights are governed by the Federal Arbitration Act and, where applicable, the California Arbitration Act.</w:t>
      </w:r>
    </w:p>
    <w:p>
      <w:pPr>
        <w:pStyle w:val="TextBody"/>
        <w:bidi w:val="0"/>
        <w:spacing w:lineRule="auto" w:line="288" w:before="229" w:after="283"/>
        <w:ind w:left="0" w:right="0" w:hanging="1010"/>
        <w:jc w:val="left"/>
        <w:rPr>
          <w:rFonts w:ascii="Times New Roman;serif" w:hAnsi="Times New Roman;serif"/>
          <w:b w:val="false"/>
          <w:color w:val="000000"/>
          <w:sz w:val="20"/>
        </w:rPr>
      </w:pPr>
      <w:r>
        <w:rPr>
          <w:rFonts w:ascii="Times New Roman;serif" w:hAnsi="Times New Roman;serif"/>
          <w:b w:val="false"/>
          <w:color w:val="000000"/>
          <w:sz w:val="20"/>
        </w:rPr>
        <w:t>(e)Arbitration Fees and Costs</w:t>
      </w:r>
    </w:p>
    <w:p>
      <w:pPr>
        <w:pStyle w:val="TextBody"/>
        <w:bidi w:val="0"/>
        <w:spacing w:before="1" w:after="283"/>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Employee will be required to pay a reasonable cost to initiate the arbitration equal to what Employee would be charged as a first appearance fee in state court in the county where the Employee works/worked for Figure. Figure shall pay all fees and costs that are unique to the arbitration process, including the arbitrator's fees. The arbitration hearing is not required to be stenographically recorded, but may be at the option of a party. The party requesting the arbitration hearing to be stenographically recorded is responsible for paying for the court reporter's service.</w:t>
      </w:r>
    </w:p>
    <w:p>
      <w:pPr>
        <w:pStyle w:val="TextBody"/>
        <w:bidi w:val="0"/>
        <w:spacing w:before="1" w:after="283"/>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Each party may be represented by an attorney in the arbitration. Except as set forth above, each party shall pay its own attorneys' fees and costs. If, however, any party prevails on a statutory claim that affords the prevailing party attorneys' fees and costs, or if there is a written agreement providing for attorneys' fees and costs, the arbitrator may award reasonable fees and costs to the prevailing party in accordance with applicable law.</w:t>
      </w:r>
    </w:p>
    <w:p>
      <w:pPr>
        <w:pStyle w:val="TextBody"/>
        <w:bidi w:val="0"/>
        <w:spacing w:lineRule="auto" w:line="288" w:before="230" w:after="283"/>
        <w:ind w:left="0" w:right="0" w:firstLine="720"/>
        <w:jc w:val="left"/>
        <w:rPr/>
      </w:pPr>
      <w:r>
        <w:rPr>
          <w:rFonts w:ascii="Times New Roman;serif" w:hAnsi="Times New Roman;serif"/>
          <w:b w:val="false"/>
          <w:color w:val="000000"/>
          <w:sz w:val="20"/>
        </w:rPr>
        <w:t>6.</w:t>
      </w:r>
      <w:r>
        <w:rPr>
          <w:rFonts w:ascii="Times New Roman;serif" w:hAnsi="Times New Roman;serif"/>
          <w:b/>
          <w:color w:val="000000"/>
          <w:sz w:val="20"/>
          <w:u w:val="single"/>
        </w:rPr>
        <w:t>Entire Agreement</w:t>
      </w:r>
      <w:r>
        <w:rPr>
          <w:rFonts w:ascii="Times New Roman;serif" w:hAnsi="Times New Roman;serif"/>
          <w:b w:val="false"/>
          <w:color w:val="000000"/>
          <w:sz w:val="20"/>
        </w:rPr>
        <w:t>: This is the complete agreement of the Parties on the subject of arbitration of disputes (except for any arbitration agreement that may exist in connection with any pension or benefit plan). This Agreement supersedes any prior or contemporaneous oral or written understanding on the subject. No party is relying on any promises, oral or written, on the subject of the effect, enforceability, or meaning of this Agreement, except as specifically set forth in this Agreement. Once executed, this Agreement constitutes a binding contract between the Parties. Figure retains the right to amend, modify, or terminate this Agreement, subject to an implied covenant of good faith and fair dealing. At least 30 days’ advance written notice of any amendment, modification, or termination shall be provided to current employees, and no such amendment, modification, or termination shall apply to disputes of which Figure has knowledge prior to the amendment, modification, or termination.</w:t>
      </w:r>
    </w:p>
    <w:p>
      <w:pPr>
        <w:pStyle w:val="TextBody"/>
        <w:bidi w:val="0"/>
        <w:spacing w:lineRule="auto" w:line="288" w:before="229" w:after="283"/>
        <w:ind w:left="0" w:right="0" w:firstLine="720"/>
        <w:jc w:val="left"/>
        <w:rPr/>
      </w:pPr>
      <w:r>
        <w:rPr>
          <w:rFonts w:ascii="Times New Roman;serif" w:hAnsi="Times New Roman;serif"/>
          <w:b w:val="false"/>
          <w:color w:val="000000"/>
          <w:sz w:val="20"/>
        </w:rPr>
        <w:t>7.</w:t>
      </w:r>
      <w:r>
        <w:rPr>
          <w:rFonts w:ascii="Times New Roman;serif" w:hAnsi="Times New Roman;serif"/>
          <w:b/>
          <w:color w:val="000000"/>
          <w:sz w:val="20"/>
          <w:u w:val="single"/>
        </w:rPr>
        <w:t>Construction of Agreement</w:t>
      </w:r>
      <w:r>
        <w:rPr>
          <w:rFonts w:ascii="Times New Roman;serif" w:hAnsi="Times New Roman;serif"/>
          <w:b w:val="false"/>
          <w:color w:val="000000"/>
          <w:sz w:val="20"/>
        </w:rPr>
        <w:t>: If any provision of this Agreement is adjudged to be void, or otherwise unenforceable, in whole or in part, such a decision shall not affect the validity of the remainder of this Agreement. In such a case, any invalid provision shall be severed and the remainder of the Agreement enforced and/or reformed to the extent necessary to be enforceable and to ensure that the resolution of any and all conflicts between the Parties be resolved by neutral, binding arbitration. However, in no event shall the arbitrator have authority to preside over any claims brought on a class, collective, or representative basis.</w:t>
      </w:r>
    </w:p>
    <w:p>
      <w:pPr>
        <w:pStyle w:val="TextBody"/>
        <w:bidi w:val="0"/>
        <w:spacing w:before="3" w:after="283"/>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8.</w:t>
      </w:r>
      <w:r>
        <w:rPr>
          <w:rFonts w:ascii="Times New Roman;serif" w:hAnsi="Times New Roman;serif"/>
          <w:b/>
          <w:color w:val="000000"/>
          <w:sz w:val="20"/>
          <w:u w:val="single"/>
        </w:rPr>
        <w:t>Waiver of Trial By Jury</w:t>
      </w:r>
      <w:r>
        <w:rPr>
          <w:rFonts w:ascii="Times New Roman;serif" w:hAnsi="Times New Roman;serif"/>
          <w:b w:val="false"/>
          <w:color w:val="000000"/>
          <w:sz w:val="20"/>
        </w:rPr>
        <w:t>: The Parties understand and fully agree that by entering into this Agreement providing for binding arbitration, they are giving up their constitutional right to have a trial by jury as to claims covered by this Agreement, and are giving up their normal rights of appeal following the rendering of a decision except to the extent that the Federal Arbitration Act or other applicable law provides for judicial review of arbitration proceedings. The Parties anticipate that by entering this Agreement they will gain the benefits of a speedy, impartial dispute resolution procedure.</w:t>
      </w:r>
    </w:p>
    <w:p>
      <w:pPr>
        <w:pStyle w:val="TextBody"/>
        <w:bidi w:val="0"/>
        <w:spacing w:before="1" w:after="283"/>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9.</w:t>
      </w:r>
      <w:r>
        <w:rPr>
          <w:rFonts w:ascii="Times New Roman;serif" w:hAnsi="Times New Roman;serif"/>
          <w:b/>
          <w:color w:val="000000"/>
          <w:sz w:val="20"/>
          <w:u w:val="single"/>
        </w:rPr>
        <w:t>Not an Employment Contract</w:t>
      </w:r>
      <w:r>
        <w:rPr>
          <w:rFonts w:ascii="Times New Roman;serif" w:hAnsi="Times New Roman;serif"/>
          <w:b w:val="false"/>
          <w:color w:val="000000"/>
          <w:sz w:val="20"/>
        </w:rPr>
        <w:t>: This Agreement is not, and shall not be construed to create, a separate contract of employment, express or implied, nor shall this Agreement be construed in any way to change the relationship between Figure and Employee from that of at-will employment.</w:t>
      </w:r>
    </w:p>
    <w:p>
      <w:pPr>
        <w:pStyle w:val="TextBody"/>
        <w:bidi w:val="0"/>
        <w:ind w:left="0" w:right="0" w:firstLine="717"/>
        <w:jc w:val="left"/>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6480175" cy="175260"/>
                <wp:effectExtent l="0" t="0" r="0" b="0"/>
                <wp:wrapNone/>
                <wp:docPr id="263" name="Frame2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17"/>
        <w:jc w:val="left"/>
        <w:rPr/>
      </w:pPr>
      <w:r>
        <w:rPr/>
      </w:r>
    </w:p>
    <w:p>
      <w:pPr>
        <w:pStyle w:val="TextBody"/>
        <w:bidi w:val="0"/>
        <w:spacing w:lineRule="auto" w:line="288" w:before="165" w:after="283"/>
        <w:jc w:val="left"/>
        <w:rPr>
          <w:rFonts w:ascii="Times New Roman;serif" w:hAnsi="Times New Roman;serif"/>
          <w:b/>
          <w:color w:val="000000"/>
          <w:sz w:val="24"/>
        </w:rPr>
      </w:pPr>
      <w:r>
        <w:rPr>
          <w:rFonts w:ascii="Times New Roman;serif" w:hAnsi="Times New Roman;serif"/>
          <w:b/>
          <w:color w:val="000000"/>
          <w:sz w:val="24"/>
        </w:rPr>
        <w:t>FIGURE TECHNOLOGIES, INC.</w:t>
      </w:r>
    </w:p>
    <w:tbl>
      <w:tblPr>
        <w:tblW w:w="4706" w:type="dxa"/>
        <w:jc w:val="left"/>
        <w:tblInd w:w="0" w:type="dxa"/>
        <w:tblLayout w:type="fixed"/>
        <w:tblCellMar>
          <w:top w:w="28" w:type="dxa"/>
          <w:left w:w="28" w:type="dxa"/>
          <w:bottom w:w="28" w:type="dxa"/>
          <w:right w:w="28" w:type="dxa"/>
        </w:tblCellMar>
      </w:tblPr>
      <w:tblGrid>
        <w:gridCol w:w="1182"/>
        <w:gridCol w:w="1042"/>
        <w:gridCol w:w="1046"/>
        <w:gridCol w:w="109"/>
        <w:gridCol w:w="109"/>
        <w:gridCol w:w="109"/>
        <w:gridCol w:w="324"/>
        <w:gridCol w:w="324"/>
        <w:gridCol w:w="461"/>
      </w:tblGrid>
      <w:tr>
        <w:trPr/>
        <w:tc>
          <w:tcPr>
            <w:tcW w:w="1182"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Doug Burns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10/27/2023</w:t>
            </w:r>
          </w:p>
        </w:tc>
      </w:tr>
      <w:tr>
        <w:trPr/>
        <w:tc>
          <w:tcPr>
            <w:tcW w:w="32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Douglas Burns, Chief People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 w:after="283"/>
        <w:jc w:val="left"/>
        <w:rPr/>
      </w:pPr>
      <w:r>
        <w:rPr/>
      </w:r>
    </w:p>
    <w:p>
      <w:pPr>
        <w:pStyle w:val="TextBody"/>
        <w:bidi w:val="0"/>
        <w:spacing w:before="10" w:after="283"/>
        <w:jc w:val="left"/>
        <w:rPr/>
      </w:pPr>
      <w:r>
        <w:rPr/>
      </w:r>
    </w:p>
    <w:p>
      <w:pPr>
        <w:pStyle w:val="TextBody"/>
        <w:bidi w:val="0"/>
        <w:spacing w:before="10" w:after="283"/>
        <w:jc w:val="left"/>
        <w:rPr/>
      </w:pPr>
      <w:r>
        <w:rPr/>
      </w:r>
    </w:p>
    <w:p>
      <w:pPr>
        <w:pStyle w:val="TextBody"/>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ACKNOWLEDGED AND AGREED:</w:t>
      </w:r>
    </w:p>
    <w:p>
      <w:pPr>
        <w:pStyle w:val="TextBody"/>
        <w:bidi w:val="0"/>
        <w:spacing w:before="7" w:after="283"/>
        <w:jc w:val="left"/>
        <w:rPr/>
      </w:pPr>
      <w:r>
        <w:rPr/>
      </w:r>
    </w:p>
    <w:tbl>
      <w:tblPr>
        <w:tblW w:w="3055" w:type="dxa"/>
        <w:jc w:val="left"/>
        <w:tblInd w:w="0" w:type="dxa"/>
        <w:tblLayout w:type="fixed"/>
        <w:tblCellMar>
          <w:top w:w="28" w:type="dxa"/>
          <w:left w:w="28" w:type="dxa"/>
          <w:bottom w:w="28" w:type="dxa"/>
          <w:right w:w="28" w:type="dxa"/>
        </w:tblCellMar>
      </w:tblPr>
      <w:tblGrid>
        <w:gridCol w:w="585"/>
        <w:gridCol w:w="516"/>
        <w:gridCol w:w="518"/>
        <w:gridCol w:w="109"/>
        <w:gridCol w:w="109"/>
        <w:gridCol w:w="109"/>
        <w:gridCol w:w="324"/>
        <w:gridCol w:w="324"/>
        <w:gridCol w:w="461"/>
      </w:tblGrid>
      <w:tr>
        <w:trPr/>
        <w:tc>
          <w:tcPr>
            <w:tcW w:w="585"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r>
      <w:tr>
        <w:trPr/>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Todd Stevens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10/27/2023</w:t>
            </w:r>
          </w:p>
        </w:tc>
      </w:tr>
      <w:tr>
        <w:trPr/>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6480175" cy="175260"/>
                <wp:effectExtent l="0" t="0" r="0" b="0"/>
                <wp:wrapNone/>
                <wp:docPr id="264" name="Frame2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600"/>
        <w:ind w:left="0" w:right="0" w:firstLine="720"/>
        <w:jc w:val="right"/>
        <w:rPr/>
      </w:pPr>
      <w:r>
        <w:rPr/>
        <w:drawing>
          <wp:inline distT="0" distB="0" distL="0" distR="0">
            <wp:extent cx="1409700" cy="561975"/>
            <wp:effectExtent l="0" t="0" r="0" b="0"/>
            <wp:docPr id="265"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5" name="Image3" descr=""/>
                    <pic:cNvPicPr>
                      <a:picLocks noChangeAspect="1" noChangeArrowheads="1"/>
                    </pic:cNvPicPr>
                  </pic:nvPicPr>
                  <pic:blipFill>
                    <a:blip r:embed="rId44"/>
                    <a:stretch>
                      <a:fillRect/>
                    </a:stretch>
                  </pic:blipFill>
                  <pic:spPr bwMode="auto">
                    <a:xfrm>
                      <a:off x="0" y="0"/>
                      <a:ext cx="1409700" cy="561975"/>
                    </a:xfrm>
                    <a:prstGeom prst="rect">
                      <a:avLst/>
                    </a:prstGeom>
                  </pic:spPr>
                </pic:pic>
              </a:graphicData>
            </a:graphic>
          </wp:inline>
        </w:drawing>
      </w:r>
    </w:p>
    <w:p>
      <w:pPr>
        <w:pStyle w:val="TextBody"/>
        <w:bidi w:val="0"/>
        <w:spacing w:lineRule="auto" w:line="288" w:before="0" w:after="600"/>
        <w:jc w:val="left"/>
        <w:rPr>
          <w:rFonts w:ascii="Times New Roman;serif" w:hAnsi="Times New Roman;serif"/>
          <w:b w:val="false"/>
          <w:color w:val="000000"/>
          <w:sz w:val="22"/>
        </w:rPr>
      </w:pPr>
      <w:r>
        <w:rPr>
          <w:rFonts w:ascii="Times New Roman;serif" w:hAnsi="Times New Roman;serif"/>
          <w:b w:val="false"/>
          <w:color w:val="000000"/>
          <w:sz w:val="22"/>
        </w:rPr>
        <w:t>March 13, 2026</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The Board of Directors</w:t>
        <w:br/>
        <w:t>Figure Technology Solutions, Inc.</w:t>
        <w:br/>
        <w:t>100 West Liberty Street, Suite 600</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Reno, NV 89501</w:t>
      </w:r>
    </w:p>
    <w:p>
      <w:pPr>
        <w:pStyle w:val="TextBody"/>
        <w:bidi w:val="0"/>
        <w:spacing w:lineRule="auto" w:line="288" w:before="360" w:after="360"/>
        <w:jc w:val="left"/>
        <w:rPr>
          <w:rFonts w:ascii="Times New Roman;serif" w:hAnsi="Times New Roman;serif"/>
          <w:b w:val="false"/>
          <w:color w:val="000000"/>
          <w:sz w:val="22"/>
        </w:rPr>
      </w:pPr>
      <w:r>
        <w:rPr>
          <w:rFonts w:ascii="Times New Roman;serif" w:hAnsi="Times New Roman;serif"/>
          <w:b w:val="false"/>
          <w:color w:val="000000"/>
          <w:sz w:val="22"/>
        </w:rPr>
        <w:t>Ladies and Gentlemen:</w:t>
      </w:r>
    </w:p>
    <w:p>
      <w:pPr>
        <w:pStyle w:val="TextBody"/>
        <w:bidi w:val="0"/>
        <w:spacing w:lineRule="auto" w:line="288" w:before="0" w:after="200"/>
        <w:jc w:val="both"/>
        <w:rPr>
          <w:rFonts w:ascii="Times New Roman;serif" w:hAnsi="Times New Roman;serif"/>
          <w:b w:val="false"/>
          <w:color w:val="000000"/>
          <w:sz w:val="22"/>
        </w:rPr>
      </w:pPr>
      <w:r>
        <w:rPr>
          <w:rFonts w:ascii="Times New Roman;serif" w:hAnsi="Times New Roman;serif"/>
          <w:b w:val="false"/>
          <w:color w:val="000000"/>
          <w:sz w:val="22"/>
        </w:rPr>
        <w:t>We have audited the consolidated balance sheets of Figure Technology Solutions, Inc. and subsidiaries (the Company) as of December 31, 2025 and 2024, and the related consolidated statements of operations, stockholders’ equity, and cash flows for each of the years in the three-year period ended December 31, 2025, and the related notes (collectively, the consolidated financial statements), and have reported thereon under date of March 13, 2026. The aforementioned consolidated financial statements and our audit report thereon are included (incorporated by reference) in the Company's annual report on Form 10-K for the year ended December 31, 2025. As stated in Note 2 to those financial statements, the Company changed its accounting policy to classify payment stablecoins as cash equivalents instead of presenting them within Digital assets, and states that the change in accounting principle is preferable in the circumstances because the change better reflects the economic substance and use of payment stablecoins by the Company. In accordance with your request, we have reviewed and discussed with Company officials the circumstances and business judgment and planning upon which the decision to make this change in the method of accounting was based.</w:t>
      </w:r>
    </w:p>
    <w:p>
      <w:pPr>
        <w:pStyle w:val="TextBody"/>
        <w:bidi w:val="0"/>
        <w:spacing w:lineRule="auto" w:line="288" w:before="0" w:after="200"/>
        <w:jc w:val="both"/>
        <w:rPr>
          <w:rFonts w:ascii="Times New Roman;serif" w:hAnsi="Times New Roman;serif"/>
          <w:b w:val="false"/>
          <w:color w:val="000000"/>
          <w:sz w:val="22"/>
        </w:rPr>
      </w:pPr>
      <w:r>
        <w:rPr>
          <w:rFonts w:ascii="Times New Roman;serif" w:hAnsi="Times New Roman;serif"/>
          <w:b w:val="false"/>
          <w:color w:val="000000"/>
          <w:sz w:val="22"/>
        </w:rPr>
        <w:t>With regard to the aforementioned accounting change, authoritative criteria have not been established for evaluating the preferability of one acceptable method of accounting over another acceptable method. However, for purposes of the Company's compliance with the requirements of the Securities and Exchange Commission, we are furnishing this letter.</w:t>
      </w:r>
    </w:p>
    <w:p>
      <w:pPr>
        <w:pStyle w:val="TextBody"/>
        <w:bidi w:val="0"/>
        <w:spacing w:lineRule="auto" w:line="288" w:before="0" w:after="200"/>
        <w:jc w:val="both"/>
        <w:rPr>
          <w:rFonts w:ascii="Times New Roman;serif" w:hAnsi="Times New Roman;serif"/>
          <w:b w:val="false"/>
          <w:color w:val="000000"/>
          <w:sz w:val="22"/>
        </w:rPr>
      </w:pPr>
      <w:r>
        <w:rPr>
          <w:rFonts w:ascii="Times New Roman;serif" w:hAnsi="Times New Roman;serif"/>
          <w:b w:val="false"/>
          <w:color w:val="000000"/>
          <w:sz w:val="22"/>
        </w:rPr>
        <w:t>Based on our review and discussion, with reliance on management’s business judgment and planning, we concur that the newly adopted method of accounting is preferable in the Company’s circumstances.</w:t>
      </w:r>
    </w:p>
    <w:p>
      <w:pPr>
        <w:pStyle w:val="TextBody"/>
        <w:bidi w:val="0"/>
        <w:spacing w:before="0" w:after="200"/>
        <w:jc w:val="both"/>
        <w:rPr/>
      </w:pPr>
      <w:r>
        <w:rPr/>
      </w:r>
    </w:p>
    <w:p>
      <w:pPr>
        <w:pStyle w:val="TextBody"/>
        <w:bidi w:val="0"/>
        <w:spacing w:lineRule="auto" w:line="240" w:before="0" w:after="200"/>
        <w:jc w:val="both"/>
        <w:rPr>
          <w:rFonts w:ascii="Times New Roman;serif" w:hAnsi="Times New Roman;serif"/>
          <w:b w:val="false"/>
          <w:color w:val="000000"/>
          <w:sz w:val="22"/>
        </w:rPr>
      </w:pPr>
      <w:r>
        <w:rPr>
          <w:rFonts w:ascii="Times New Roman;serif" w:hAnsi="Times New Roman;serif"/>
          <w:b w:val="false"/>
          <w:color w:val="000000"/>
          <w:sz w:val="22"/>
        </w:rPr>
        <w:t>Very truly yours,</w:t>
      </w:r>
    </w:p>
    <w:p>
      <w:pPr>
        <w:pStyle w:val="TextBody"/>
        <w:bidi w:val="0"/>
        <w:spacing w:before="0" w:after="200"/>
        <w:jc w:val="both"/>
        <w:rPr/>
      </w:pPr>
      <w:r>
        <w:rPr/>
        <w:drawing>
          <wp:inline distT="0" distB="0" distL="0" distR="0">
            <wp:extent cx="1962150" cy="419100"/>
            <wp:effectExtent l="0" t="0" r="0" b="0"/>
            <wp:docPr id="266"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 name="Image4" descr=""/>
                    <pic:cNvPicPr>
                      <a:picLocks noChangeAspect="1" noChangeArrowheads="1"/>
                    </pic:cNvPicPr>
                  </pic:nvPicPr>
                  <pic:blipFill>
                    <a:blip r:embed="rId45"/>
                    <a:stretch>
                      <a:fillRect/>
                    </a:stretch>
                  </pic:blipFill>
                  <pic:spPr bwMode="auto">
                    <a:xfrm>
                      <a:off x="0" y="0"/>
                      <a:ext cx="1962150" cy="419100"/>
                    </a:xfrm>
                    <a:prstGeom prst="rect">
                      <a:avLst/>
                    </a:prstGeom>
                  </pic:spPr>
                </pic:pic>
              </a:graphicData>
            </a:graphic>
          </wp:inline>
        </w:drawing>
      </w:r>
    </w:p>
    <w:p>
      <w:pPr>
        <w:pStyle w:val="TextBody"/>
        <w:bidi w:val="0"/>
        <w:spacing w:before="0" w:after="12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6480175" cy="175260"/>
                <wp:effectExtent l="0" t="0" r="0" b="0"/>
                <wp:wrapNone/>
                <wp:docPr id="267" name="Frame2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Figure Technology Solutions, Inc.</w:t>
        <w:br/>
        <w:t>Insider Trading Compliance Policy</w:t>
      </w:r>
    </w:p>
    <w:p>
      <w:pPr>
        <w:pStyle w:val="TextBody"/>
        <w:bidi w:val="0"/>
        <w:spacing w:lineRule="auto" w:line="288" w:before="0" w:after="240"/>
        <w:jc w:val="both"/>
        <w:rPr/>
      </w:pPr>
      <w:r>
        <w:rPr>
          <w:rFonts w:ascii="Times New Roman;serif" w:hAnsi="Times New Roman;serif"/>
          <w:b w:val="false"/>
          <w:color w:val="000000"/>
          <w:sz w:val="24"/>
        </w:rPr>
        <w:t>Figure Technology Solutions, Inc. (the “</w:t>
      </w:r>
      <w:r>
        <w:rPr>
          <w:rFonts w:ascii="Times New Roman;serif" w:hAnsi="Times New Roman;serif"/>
          <w:b/>
          <w:i/>
          <w:color w:val="000000"/>
          <w:sz w:val="24"/>
        </w:rPr>
        <w:t>Company</w:t>
      </w:r>
      <w:r>
        <w:rPr>
          <w:color w:val="000000"/>
        </w:rPr>
        <w:t>”</w:t>
      </w:r>
      <w:r>
        <w:rPr>
          <w:rFonts w:ascii="Times New Roman;serif" w:hAnsi="Times New Roman;serif"/>
          <w:b w:val="false"/>
          <w:color w:val="000000"/>
          <w:sz w:val="24"/>
        </w:rPr>
        <w:t>) seeks to promote a culture that encourages ethical conduct and a commitment to compliance with the law. We require our personnel to comply at all times with federal laws and regulations governing insider trading. This policy sets forth procedures designed to help comply with these laws and regulations.</w:t>
      </w:r>
    </w:p>
    <w:p>
      <w:pPr>
        <w:pStyle w:val="TextBody"/>
        <w:bidi w:val="0"/>
        <w:spacing w:lineRule="auto" w:line="288" w:before="0" w:after="240"/>
        <w:jc w:val="left"/>
        <w:rPr>
          <w:rFonts w:ascii="Times New Roman;serif" w:hAnsi="Times New Roman;serif"/>
          <w:b/>
          <w:color w:val="000000"/>
          <w:sz w:val="24"/>
          <w:u w:val="single"/>
        </w:rPr>
      </w:pPr>
      <w:r>
        <w:rPr>
          <w:rFonts w:ascii="Times New Roman;serif" w:hAnsi="Times New Roman;serif"/>
          <w:b/>
          <w:color w:val="000000"/>
          <w:sz w:val="24"/>
          <w:u w:val="single"/>
        </w:rPr>
        <w:t>Persons Covered</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You must comply with this policy if you are:</w:t>
      </w:r>
    </w:p>
    <w:p>
      <w:pPr>
        <w:pStyle w:val="TextBody"/>
        <w:bidi w:val="0"/>
        <w:spacing w:lineRule="auto" w:line="288" w:before="0" w:after="240"/>
        <w:ind w:left="0" w:right="0" w:firstLine="360"/>
        <w:jc w:val="both"/>
        <w:rPr/>
      </w:pPr>
      <w:r>
        <w:rPr>
          <w:color w:val="000000"/>
        </w:rPr>
        <w:t>•</w:t>
      </w:r>
      <w:r>
        <w:rPr>
          <w:rFonts w:ascii="Times New Roman;serif" w:hAnsi="Times New Roman;serif"/>
          <w:b w:val="false"/>
          <w:color w:val="000000"/>
          <w:sz w:val="24"/>
        </w:rPr>
        <w:t xml:space="preserve">a director, officer or employee; </w:t>
      </w:r>
    </w:p>
    <w:p>
      <w:pPr>
        <w:pStyle w:val="TextBody"/>
        <w:bidi w:val="0"/>
        <w:spacing w:lineRule="auto" w:line="288" w:before="0" w:after="240"/>
        <w:ind w:left="0" w:right="0" w:firstLine="360"/>
        <w:jc w:val="both"/>
        <w:rPr/>
      </w:pPr>
      <w:r>
        <w:rPr>
          <w:color w:val="000000"/>
        </w:rPr>
        <w:t>•</w:t>
      </w:r>
      <w:r>
        <w:rPr>
          <w:rFonts w:ascii="Times New Roman;serif" w:hAnsi="Times New Roman;serif"/>
          <w:b w:val="false"/>
          <w:color w:val="000000"/>
          <w:sz w:val="24"/>
        </w:rPr>
        <w:t>an entity controlled by a director, officer or employee; or</w:t>
      </w:r>
    </w:p>
    <w:p>
      <w:pPr>
        <w:pStyle w:val="TextBody"/>
        <w:bidi w:val="0"/>
        <w:spacing w:lineRule="auto" w:line="288" w:before="0" w:after="240"/>
        <w:ind w:left="0" w:right="0" w:firstLine="360"/>
        <w:jc w:val="both"/>
        <w:rPr/>
      </w:pPr>
      <w:r>
        <w:rPr>
          <w:color w:val="000000"/>
        </w:rPr>
        <w:t>•</w:t>
      </w:r>
      <w:r>
        <w:rPr>
          <w:rFonts w:ascii="Times New Roman;serif" w:hAnsi="Times New Roman;serif"/>
          <w:b w:val="false"/>
          <w:color w:val="000000"/>
          <w:sz w:val="24"/>
        </w:rPr>
        <w:t>a contractor, consultant, or other person designated by the Company.</w:t>
      </w:r>
    </w:p>
    <w:p>
      <w:pPr>
        <w:pStyle w:val="TextBody"/>
        <w:bidi w:val="0"/>
        <w:spacing w:lineRule="auto" w:line="288" w:before="0" w:after="240"/>
        <w:jc w:val="both"/>
        <w:rPr/>
      </w:pPr>
      <w:r>
        <w:rPr>
          <w:rFonts w:ascii="Times New Roman;serif" w:hAnsi="Times New Roman;serif"/>
          <w:b w:val="false"/>
          <w:color w:val="000000"/>
          <w:sz w:val="24"/>
        </w:rPr>
        <w:t>Individuals subject to this policy are responsible for ensuring that members of their household comply with this policy.</w:t>
      </w:r>
      <w:r>
        <w:rPr>
          <w:color w:val="000000"/>
        </w:rPr>
        <w:t xml:space="preserve"> </w:t>
      </w:r>
    </w:p>
    <w:p>
      <w:pPr>
        <w:pStyle w:val="TextBody"/>
        <w:bidi w:val="0"/>
        <w:spacing w:lineRule="auto" w:line="288" w:before="0" w:after="240"/>
        <w:jc w:val="both"/>
        <w:rPr>
          <w:rFonts w:ascii="Times New Roman;serif" w:hAnsi="Times New Roman;serif"/>
          <w:b/>
          <w:color w:val="000000"/>
          <w:sz w:val="24"/>
          <w:u w:val="single"/>
        </w:rPr>
      </w:pPr>
      <w:r>
        <w:rPr>
          <w:rFonts w:ascii="Times New Roman;serif" w:hAnsi="Times New Roman;serif"/>
          <w:b/>
          <w:color w:val="000000"/>
          <w:sz w:val="24"/>
          <w:u w:val="single"/>
        </w:rPr>
        <w:t>Policy Statement</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Unless otherwise permitted by this policy, you must not:</w:t>
      </w:r>
    </w:p>
    <w:p>
      <w:pPr>
        <w:pStyle w:val="TextBody"/>
        <w:bidi w:val="0"/>
        <w:spacing w:lineRule="auto" w:line="288" w:before="0" w:after="240"/>
        <w:ind w:left="0" w:right="0" w:firstLine="360"/>
        <w:jc w:val="both"/>
        <w:rPr/>
      </w:pPr>
      <w:r>
        <w:rPr>
          <w:color w:val="000000"/>
        </w:rPr>
        <w:t>•</w:t>
      </w:r>
      <w:r>
        <w:rPr>
          <w:rFonts w:ascii="Times New Roman;serif" w:hAnsi="Times New Roman;serif"/>
          <w:b w:val="false"/>
          <w:color w:val="000000"/>
          <w:sz w:val="24"/>
        </w:rPr>
        <w:t>purchase, sell, gift or otherwise transfer any security of the Company while you possess material nonpublic information about the Company;</w:t>
      </w:r>
    </w:p>
    <w:p>
      <w:pPr>
        <w:pStyle w:val="TextBody"/>
        <w:bidi w:val="0"/>
        <w:spacing w:lineRule="auto" w:line="288" w:before="0" w:after="240"/>
        <w:ind w:left="0" w:right="0" w:firstLine="360"/>
        <w:jc w:val="both"/>
        <w:rPr/>
      </w:pPr>
      <w:r>
        <w:rPr>
          <w:color w:val="000000"/>
        </w:rPr>
        <w:t>•</w:t>
      </w:r>
      <w:r>
        <w:rPr>
          <w:rFonts w:ascii="Times New Roman;serif" w:hAnsi="Times New Roman;serif"/>
          <w:b w:val="false"/>
          <w:color w:val="000000"/>
          <w:sz w:val="24"/>
        </w:rPr>
        <w:t>purchase, sell, gift or otherwise transfer any security of any other company, including a customer, supplier, business partner, or an economically-linked company, such as a competitor or peer company, while you possess material nonpublic information that you obtained in connection with your employment by or service to the Company (to the extent there is a reasonable likelihood that such information would be considered important to an investor in making an investment decision in such other company);</w:t>
      </w:r>
    </w:p>
    <w:p>
      <w:pPr>
        <w:pStyle w:val="TextBody"/>
        <w:bidi w:val="0"/>
        <w:spacing w:lineRule="auto" w:line="288" w:before="0" w:after="240"/>
        <w:ind w:left="0" w:right="0" w:firstLine="360"/>
        <w:jc w:val="both"/>
        <w:rPr/>
      </w:pPr>
      <w:r>
        <w:rPr>
          <w:color w:val="000000"/>
        </w:rPr>
        <w:t>•</w:t>
      </w:r>
      <w:r>
        <w:rPr>
          <w:rFonts w:ascii="Times New Roman;serif" w:hAnsi="Times New Roman;serif"/>
          <w:b w:val="false"/>
          <w:color w:val="000000"/>
          <w:sz w:val="24"/>
        </w:rPr>
        <w:t>directly or indirectly communicate material nonpublic information to anyone outside the Company unless you follow Company policy regarding confidential information; or</w:t>
      </w:r>
    </w:p>
    <w:p>
      <w:pPr>
        <w:pStyle w:val="TextBody"/>
        <w:bidi w:val="0"/>
        <w:spacing w:lineRule="auto" w:line="288" w:before="0" w:after="240"/>
        <w:ind w:left="0" w:right="0" w:firstLine="360"/>
        <w:jc w:val="both"/>
        <w:rPr/>
      </w:pPr>
      <w:r>
        <w:rPr>
          <w:color w:val="000000"/>
        </w:rPr>
        <w:t>•</w:t>
      </w:r>
      <w:r>
        <w:rPr>
          <w:rFonts w:ascii="Times New Roman;serif" w:hAnsi="Times New Roman;serif"/>
          <w:b w:val="false"/>
          <w:color w:val="000000"/>
          <w:sz w:val="24"/>
        </w:rPr>
        <w:t>directly or indirectly communicate material nonpublic information to anyone within the Company except on a need-to-know basis.</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For this purpose: </w:t>
      </w:r>
    </w:p>
    <w:p>
      <w:pPr>
        <w:pStyle w:val="TextBody"/>
        <w:bidi w:val="0"/>
        <w:spacing w:lineRule="auto" w:line="288" w:before="0" w:after="240"/>
        <w:ind w:left="0" w:right="0" w:firstLine="360"/>
        <w:jc w:val="both"/>
        <w:rPr/>
      </w:pPr>
      <w:r>
        <w:rPr>
          <w:color w:val="000000"/>
        </w:rPr>
        <w:t>•</w:t>
      </w:r>
      <w:r>
        <w:rPr>
          <w:rFonts w:ascii="Times New Roman;serif" w:hAnsi="Times New Roman;serif"/>
          <w:b w:val="false"/>
          <w:i/>
          <w:color w:val="000000"/>
          <w:sz w:val="24"/>
        </w:rPr>
        <w:t>securities</w:t>
      </w:r>
      <w:r>
        <w:rPr>
          <w:color w:val="000000"/>
        </w:rPr>
        <w:t xml:space="preserve"> </w:t>
      </w:r>
      <w:r>
        <w:rPr>
          <w:rFonts w:ascii="Times New Roman;serif" w:hAnsi="Times New Roman;serif"/>
          <w:b w:val="false"/>
          <w:color w:val="000000"/>
          <w:sz w:val="24"/>
        </w:rPr>
        <w:t>includes stocks, bonds, notes, debentures, options, warrants, equity and other convertible securities, as well as derivative instruments;</w:t>
      </w:r>
    </w:p>
    <w:p>
      <w:pPr>
        <w:pStyle w:val="TextBody"/>
        <w:bidi w:val="0"/>
        <w:spacing w:lineRule="auto" w:line="288" w:before="0" w:after="240"/>
        <w:ind w:left="0" w:right="0" w:firstLine="360"/>
        <w:jc w:val="both"/>
        <w:rPr/>
      </w:pPr>
      <w:r>
        <w:rPr>
          <w:color w:val="000000"/>
        </w:rPr>
        <w:t>•</w:t>
      </w:r>
      <w:r>
        <w:rPr>
          <w:rFonts w:ascii="Times New Roman;serif" w:hAnsi="Times New Roman;serif"/>
          <w:b w:val="false"/>
          <w:i/>
          <w:color w:val="000000"/>
          <w:sz w:val="24"/>
        </w:rPr>
        <w:t>purchase</w:t>
      </w:r>
      <w:r>
        <w:rPr>
          <w:color w:val="000000"/>
        </w:rPr>
        <w:t xml:space="preserve"> </w:t>
      </w:r>
      <w:r>
        <w:rPr>
          <w:rFonts w:ascii="Times New Roman;serif" w:hAnsi="Times New Roman;serif"/>
          <w:b w:val="false"/>
          <w:color w:val="000000"/>
          <w:sz w:val="24"/>
        </w:rPr>
        <w:t>includes not only the actual purchase of a security, but also any contract to purchase or otherwise acquire a security;</w:t>
      </w:r>
    </w:p>
    <w:p>
      <w:pPr>
        <w:pStyle w:val="TextBody"/>
        <w:bidi w:val="0"/>
        <w:spacing w:before="0" w:after="0"/>
        <w:jc w:val="right"/>
        <w:rPr/>
      </w:pPr>
      <w:r>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6480175" cy="313055"/>
                <wp:effectExtent l="0" t="0" r="0" b="0"/>
                <wp:wrapNone/>
                <wp:docPr id="268" name="Frame264"/>
                <a:graphic xmlns:a="http://schemas.openxmlformats.org/drawingml/2006/main">
                  <a:graphicData uri="http://schemas.microsoft.com/office/word/2010/wordprocessingShape">
                    <wps:wsp>
                      <wps:cNvSpPr txBox="1"/>
                      <wps:spPr>
                        <a:xfrm>
                          <a:off x="0" y="0"/>
                          <a:ext cx="6480175" cy="3130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1</w:t>
                            </w:r>
                            <w:r>
                              <w:br w:type="page"/>
                            </w:r>
                          </w:p>
                          <w:p>
                            <w:pPr>
                              <w:pStyle w:val="TextBody"/>
                              <w:bidi w:val="0"/>
                              <w:spacing w:lineRule="auto" w:line="288" w:before="0" w:after="0"/>
                              <w:jc w:val="left"/>
                              <w:rPr>
                                <w:rFonts w:ascii="sans-serif" w:hAnsi="sans-serif"/>
                                <w:b w:val="false"/>
                                <w:color w:val="000000"/>
                                <w:sz w:val="16"/>
                              </w:rPr>
                            </w:pPr>
                            <w:r>
                              <w:rPr>
                                <w:rFonts w:ascii="sans-serif" w:hAnsi="sans-serif"/>
                                <w:b w:val="false"/>
                                <w:color w:val="000000"/>
                                <w:sz w:val="16"/>
                              </w:rPr>
                              <w:t>|US-DOCS\158007884.2||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1</w:t>
                      </w:r>
                    </w:p>
                    <w:p>
                      <w:pPr>
                        <w:pStyle w:val="TextBody"/>
                        <w:bidi w:val="0"/>
                        <w:spacing w:lineRule="auto" w:line="288" w:before="0" w:after="0"/>
                        <w:jc w:val="left"/>
                        <w:rPr>
                          <w:rFonts w:ascii="sans-serif" w:hAnsi="sans-serif"/>
                          <w:b w:val="false"/>
                          <w:color w:val="000000"/>
                          <w:sz w:val="16"/>
                        </w:rPr>
                      </w:pPr>
                      <w:r>
                        <w:rPr>
                          <w:rFonts w:ascii="sans-serif" w:hAnsi="sans-serif"/>
                          <w:b w:val="false"/>
                          <w:color w:val="000000"/>
                          <w:sz w:val="16"/>
                        </w:rPr>
                        <w:t>|US-DOCS\158007884.2||</w:t>
                      </w:r>
                    </w:p>
                  </w:txbxContent>
                </v:textbox>
                <w10:wrap type="none"/>
              </v:rect>
            </w:pict>
          </mc:Fallback>
        </mc:AlternateContent>
      </w:r>
    </w:p>
    <w:p>
      <w:pPr>
        <w:pStyle w:val="TextBody"/>
        <w:bidi w:val="0"/>
        <w:spacing w:lineRule="auto" w:line="288" w:before="0" w:after="240"/>
        <w:ind w:left="0" w:right="0" w:firstLine="360"/>
        <w:jc w:val="both"/>
        <w:rPr/>
      </w:pPr>
      <w:r>
        <w:rPr>
          <w:color w:val="000000"/>
        </w:rPr>
        <w:t>•</w:t>
      </w:r>
      <w:r>
        <w:rPr>
          <w:rFonts w:ascii="Times New Roman;serif" w:hAnsi="Times New Roman;serif"/>
          <w:b w:val="false"/>
          <w:i/>
          <w:color w:val="000000"/>
          <w:sz w:val="24"/>
        </w:rPr>
        <w:t>sale</w:t>
      </w:r>
      <w:r>
        <w:rPr>
          <w:color w:val="000000"/>
        </w:rPr>
        <w:t xml:space="preserve"> </w:t>
      </w:r>
      <w:r>
        <w:rPr>
          <w:rFonts w:ascii="Times New Roman;serif" w:hAnsi="Times New Roman;serif"/>
          <w:b w:val="false"/>
          <w:color w:val="000000"/>
          <w:sz w:val="24"/>
        </w:rPr>
        <w:t>includes not only the actual sale of a security, but also any contract to sell or otherwise dispose of a security;</w:t>
      </w:r>
    </w:p>
    <w:p>
      <w:pPr>
        <w:pStyle w:val="TextBody"/>
        <w:bidi w:val="0"/>
        <w:spacing w:lineRule="auto" w:line="288" w:before="0" w:after="240"/>
        <w:ind w:left="0" w:right="0" w:firstLine="360"/>
        <w:jc w:val="both"/>
        <w:rPr/>
      </w:pPr>
      <w:r>
        <w:rPr>
          <w:color w:val="000000"/>
        </w:rPr>
        <w:t>•</w:t>
      </w:r>
      <w:r>
        <w:rPr>
          <w:rFonts w:ascii="Times New Roman;serif" w:hAnsi="Times New Roman;serif"/>
          <w:b w:val="false"/>
          <w:i/>
          <w:color w:val="000000"/>
          <w:sz w:val="24"/>
        </w:rPr>
        <w:t>material</w:t>
      </w:r>
      <w:r>
        <w:rPr>
          <w:color w:val="000000"/>
        </w:rPr>
        <w:t xml:space="preserve"> </w:t>
      </w:r>
      <w:r>
        <w:rPr>
          <w:rFonts w:ascii="Times New Roman;serif" w:hAnsi="Times New Roman;serif"/>
          <w:b w:val="false"/>
          <w:color w:val="000000"/>
          <w:sz w:val="24"/>
        </w:rPr>
        <w:t>means likely to have a significant effect on the market price of the security (also understood to mean a substantial likelihood that a reasonable investor would consider the information important in making an investment decision); and</w:t>
      </w:r>
    </w:p>
    <w:p>
      <w:pPr>
        <w:pStyle w:val="TextBody"/>
        <w:bidi w:val="0"/>
        <w:spacing w:lineRule="auto" w:line="288" w:before="0" w:after="240"/>
        <w:ind w:left="0" w:right="0" w:firstLine="360"/>
        <w:jc w:val="both"/>
        <w:rPr/>
      </w:pPr>
      <w:r>
        <w:rPr>
          <w:color w:val="000000"/>
        </w:rPr>
        <w:t>•</w:t>
      </w:r>
      <w:r>
        <w:rPr>
          <w:rFonts w:ascii="Times New Roman;serif" w:hAnsi="Times New Roman;serif"/>
          <w:b w:val="false"/>
          <w:i/>
          <w:color w:val="000000"/>
          <w:sz w:val="24"/>
        </w:rPr>
        <w:t>nonpublic</w:t>
      </w:r>
      <w:r>
        <w:rPr>
          <w:color w:val="000000"/>
        </w:rPr>
        <w:t xml:space="preserve"> </w:t>
      </w:r>
      <w:r>
        <w:rPr>
          <w:rFonts w:ascii="Times New Roman;serif" w:hAnsi="Times New Roman;serif"/>
          <w:b w:val="false"/>
          <w:color w:val="000000"/>
          <w:sz w:val="24"/>
        </w:rPr>
        <w:t>means not broadly disseminated to the general public so that investors have been able to factor the information into the market price of the security.</w:t>
      </w:r>
    </w:p>
    <w:p>
      <w:pPr>
        <w:pStyle w:val="TextBody"/>
        <w:bidi w:val="0"/>
        <w:spacing w:lineRule="auto" w:line="288" w:before="0" w:after="240"/>
        <w:jc w:val="both"/>
        <w:rPr/>
      </w:pPr>
      <w:r>
        <w:rPr>
          <w:rFonts w:ascii="Times New Roman;serif" w:hAnsi="Times New Roman;serif"/>
          <w:b w:val="false"/>
          <w:color w:val="000000"/>
          <w:sz w:val="24"/>
        </w:rPr>
        <w:t xml:space="preserve">To understand how these terms apply to specific circumstances, or for any other questions about this policy, you should ask the Chief Legal Officer or his or her designee (the </w:t>
      </w:r>
      <w:r>
        <w:rPr>
          <w:color w:val="000000"/>
        </w:rPr>
        <w:t>“</w:t>
      </w:r>
      <w:r>
        <w:rPr>
          <w:rFonts w:ascii="Times New Roman;serif" w:hAnsi="Times New Roman;serif"/>
          <w:b/>
          <w:i/>
          <w:color w:val="000000"/>
          <w:sz w:val="24"/>
        </w:rPr>
        <w:t>Compliance Officer”).</w:t>
      </w:r>
    </w:p>
    <w:p>
      <w:pPr>
        <w:pStyle w:val="TextBody"/>
        <w:bidi w:val="0"/>
        <w:spacing w:lineRule="auto" w:line="288" w:before="0" w:after="240"/>
        <w:jc w:val="left"/>
        <w:rPr>
          <w:rFonts w:ascii="Times New Roman;serif" w:hAnsi="Times New Roman;serif"/>
          <w:b/>
          <w:color w:val="000000"/>
          <w:sz w:val="24"/>
          <w:u w:val="single"/>
        </w:rPr>
      </w:pPr>
      <w:r>
        <w:rPr>
          <w:rFonts w:ascii="Times New Roman;serif" w:hAnsi="Times New Roman;serif"/>
          <w:b/>
          <w:color w:val="000000"/>
          <w:sz w:val="24"/>
          <w:u w:val="single"/>
        </w:rPr>
        <w:t>Quarterly Blackout Periods</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The Compliance Officer will designate a list of persons who (with their controlled entities and household members) must not purchase, sell, gift or otherwise transfer any security of the Company during any blackout period, except as otherwise permitted by this policy.</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The quarterly blackout period:</w:t>
      </w:r>
    </w:p>
    <w:p>
      <w:pPr>
        <w:pStyle w:val="TextBody"/>
        <w:bidi w:val="0"/>
        <w:spacing w:lineRule="auto" w:line="288" w:before="0" w:after="240"/>
        <w:ind w:left="0" w:right="0" w:firstLine="360"/>
        <w:jc w:val="both"/>
        <w:rPr/>
      </w:pPr>
      <w:r>
        <w:rPr>
          <w:color w:val="000000"/>
        </w:rPr>
        <w:t>•</w:t>
      </w:r>
      <w:r>
        <w:rPr>
          <w:rFonts w:ascii="Times New Roman;serif" w:hAnsi="Times New Roman;serif"/>
          <w:b w:val="false"/>
          <w:color w:val="000000"/>
          <w:sz w:val="24"/>
        </w:rPr>
        <w:t>begins on the 15th day of the last month of each fiscal quarter; and</w:t>
      </w:r>
    </w:p>
    <w:p>
      <w:pPr>
        <w:pStyle w:val="TextBody"/>
        <w:bidi w:val="0"/>
        <w:spacing w:lineRule="auto" w:line="288" w:before="0" w:after="240"/>
        <w:ind w:left="0" w:right="0" w:firstLine="360"/>
        <w:jc w:val="both"/>
        <w:rPr/>
      </w:pPr>
      <w:r>
        <w:rPr>
          <w:color w:val="000000"/>
        </w:rPr>
        <w:t>•</w:t>
      </w:r>
      <w:r>
        <w:rPr>
          <w:rFonts w:ascii="Times New Roman;serif" w:hAnsi="Times New Roman;serif"/>
          <w:b w:val="false"/>
          <w:color w:val="000000"/>
          <w:sz w:val="24"/>
        </w:rPr>
        <w:t>ends after completion of the second trading day after the earnings release for that quarter.</w:t>
      </w:r>
    </w:p>
    <w:p>
      <w:pPr>
        <w:pStyle w:val="TextBody"/>
        <w:bidi w:val="0"/>
        <w:spacing w:lineRule="auto" w:line="288" w:before="0" w:after="240"/>
        <w:jc w:val="left"/>
        <w:rPr>
          <w:rFonts w:ascii="Times New Roman;serif" w:hAnsi="Times New Roman;serif"/>
          <w:b/>
          <w:color w:val="000000"/>
          <w:sz w:val="24"/>
          <w:u w:val="single"/>
        </w:rPr>
      </w:pPr>
      <w:r>
        <w:rPr>
          <w:rFonts w:ascii="Times New Roman;serif" w:hAnsi="Times New Roman;serif"/>
          <w:b/>
          <w:color w:val="000000"/>
          <w:sz w:val="24"/>
          <w:u w:val="single"/>
        </w:rPr>
        <w:t>Additional Blackout Periods</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From time to time, the Compliance Officer may determine that an additional blackout period is appropriate. Persons subject to an additional blackout period must not purchase, sell, gift or otherwise transfer any security of the Company, except as otherwise permitted by this policy, and must not disclose that an additional blackout period is in effect.</w:t>
      </w:r>
    </w:p>
    <w:p>
      <w:pPr>
        <w:pStyle w:val="TextBody"/>
        <w:bidi w:val="0"/>
        <w:spacing w:lineRule="auto" w:line="288" w:before="0" w:after="240"/>
        <w:jc w:val="left"/>
        <w:rPr>
          <w:rFonts w:ascii="Times New Roman;serif" w:hAnsi="Times New Roman;serif"/>
          <w:b/>
          <w:color w:val="000000"/>
          <w:sz w:val="24"/>
          <w:u w:val="single"/>
        </w:rPr>
      </w:pPr>
      <w:r>
        <w:rPr>
          <w:rFonts w:ascii="Times New Roman;serif" w:hAnsi="Times New Roman;serif"/>
          <w:b/>
          <w:color w:val="000000"/>
          <w:sz w:val="24"/>
          <w:u w:val="single"/>
        </w:rPr>
        <w:t>Pre-Clearance of Transactions</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The Compliance Officer will designate a list of persons who (with their controlled entities and household members) must pre-clear each transaction in any security of the Company.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To submit a pre-clearance request, you must follow the procedures established by the Compliance Officer.</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Pre-clearance approval:</w:t>
      </w:r>
    </w:p>
    <w:p>
      <w:pPr>
        <w:pStyle w:val="TextBody"/>
        <w:bidi w:val="0"/>
        <w:spacing w:lineRule="auto" w:line="288" w:before="0" w:after="240"/>
        <w:ind w:left="0" w:right="0" w:firstLine="360"/>
        <w:jc w:val="both"/>
        <w:rPr/>
      </w:pPr>
      <w:r>
        <w:rPr>
          <w:color w:val="000000"/>
        </w:rPr>
        <w:t>•</w:t>
      </w:r>
      <w:r>
        <w:rPr>
          <w:rFonts w:ascii="Times New Roman;serif" w:hAnsi="Times New Roman;serif"/>
          <w:b w:val="false"/>
          <w:color w:val="000000"/>
          <w:sz w:val="24"/>
        </w:rPr>
        <w:t>may be granted or withheld in the sole discretion of the Compliance Officer (or the Chief Financial Officer for transactions by the Compliance Officer);</w:t>
      </w:r>
    </w:p>
    <w:p>
      <w:pPr>
        <w:pStyle w:val="TextBody"/>
        <w:bidi w:val="0"/>
        <w:spacing w:lineRule="auto" w:line="288" w:before="0" w:after="240"/>
        <w:ind w:left="0" w:right="0" w:firstLine="360"/>
        <w:jc w:val="both"/>
        <w:rPr/>
      </w:pPr>
      <w:r>
        <w:rPr>
          <w:color w:val="000000"/>
        </w:rPr>
        <w:t>•</w:t>
      </w:r>
      <w:r>
        <w:rPr>
          <w:rFonts w:ascii="Times New Roman;serif" w:hAnsi="Times New Roman;serif"/>
          <w:b w:val="false"/>
          <w:color w:val="000000"/>
          <w:sz w:val="24"/>
        </w:rPr>
        <w:t>remains valid for two business days for transactions without a proposed transaction date;</w:t>
      </w:r>
    </w:p>
    <w:p>
      <w:pPr>
        <w:pStyle w:val="TextBody"/>
        <w:bidi w:val="0"/>
        <w:spacing w:before="0" w:after="0"/>
        <w:jc w:val="right"/>
        <w:rPr/>
      </w:pPr>
      <w:r>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6480175" cy="313055"/>
                <wp:effectExtent l="0" t="0" r="0" b="0"/>
                <wp:wrapNone/>
                <wp:docPr id="269" name="Frame265"/>
                <a:graphic xmlns:a="http://schemas.openxmlformats.org/drawingml/2006/main">
                  <a:graphicData uri="http://schemas.microsoft.com/office/word/2010/wordprocessingShape">
                    <wps:wsp>
                      <wps:cNvSpPr txBox="1"/>
                      <wps:spPr>
                        <a:xfrm>
                          <a:off x="0" y="0"/>
                          <a:ext cx="6480175" cy="3130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2</w:t>
                            </w:r>
                            <w:r>
                              <w:br w:type="page"/>
                            </w:r>
                          </w:p>
                          <w:p>
                            <w:pPr>
                              <w:pStyle w:val="TextBody"/>
                              <w:bidi w:val="0"/>
                              <w:spacing w:lineRule="auto" w:line="288" w:before="0" w:after="0"/>
                              <w:jc w:val="left"/>
                              <w:rPr>
                                <w:rFonts w:ascii="sans-serif" w:hAnsi="sans-serif"/>
                                <w:b w:val="false"/>
                                <w:color w:val="000000"/>
                                <w:sz w:val="16"/>
                              </w:rPr>
                            </w:pPr>
                            <w:r>
                              <w:rPr>
                                <w:rFonts w:ascii="sans-serif" w:hAnsi="sans-serif"/>
                                <w:b w:val="false"/>
                                <w:color w:val="000000"/>
                                <w:sz w:val="16"/>
                              </w:rPr>
                              <w:t>|US-DOCS\158007884.2||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2</w:t>
                      </w:r>
                    </w:p>
                    <w:p>
                      <w:pPr>
                        <w:pStyle w:val="TextBody"/>
                        <w:bidi w:val="0"/>
                        <w:spacing w:lineRule="auto" w:line="288" w:before="0" w:after="0"/>
                        <w:jc w:val="left"/>
                        <w:rPr>
                          <w:rFonts w:ascii="sans-serif" w:hAnsi="sans-serif"/>
                          <w:b w:val="false"/>
                          <w:color w:val="000000"/>
                          <w:sz w:val="16"/>
                        </w:rPr>
                      </w:pPr>
                      <w:r>
                        <w:rPr>
                          <w:rFonts w:ascii="sans-serif" w:hAnsi="sans-serif"/>
                          <w:b w:val="false"/>
                          <w:color w:val="000000"/>
                          <w:sz w:val="16"/>
                        </w:rPr>
                        <w:t>|US-DOCS\158007884.2||</w:t>
                      </w:r>
                    </w:p>
                  </w:txbxContent>
                </v:textbox>
                <w10:wrap type="none"/>
              </v:rect>
            </w:pict>
          </mc:Fallback>
        </mc:AlternateContent>
      </w:r>
    </w:p>
    <w:p>
      <w:pPr>
        <w:pStyle w:val="TextBody"/>
        <w:bidi w:val="0"/>
        <w:spacing w:lineRule="auto" w:line="288" w:before="0" w:after="240"/>
        <w:ind w:left="0" w:right="0" w:firstLine="360"/>
        <w:jc w:val="both"/>
        <w:rPr/>
      </w:pPr>
      <w:r>
        <w:rPr>
          <w:color w:val="000000"/>
        </w:rPr>
        <w:t>•</w:t>
      </w:r>
      <w:r>
        <w:rPr>
          <w:rFonts w:ascii="Times New Roman;serif" w:hAnsi="Times New Roman;serif"/>
          <w:b w:val="false"/>
          <w:color w:val="000000"/>
          <w:sz w:val="24"/>
        </w:rPr>
        <w:t>remains subject to your independent obligation to confirm that you do not possess material nonpublic information at the time of your transaction;</w:t>
      </w:r>
    </w:p>
    <w:p>
      <w:pPr>
        <w:pStyle w:val="TextBody"/>
        <w:bidi w:val="0"/>
        <w:spacing w:lineRule="auto" w:line="288" w:before="0" w:after="240"/>
        <w:ind w:left="0" w:right="0" w:firstLine="360"/>
        <w:jc w:val="both"/>
        <w:rPr/>
      </w:pPr>
      <w:r>
        <w:rPr>
          <w:color w:val="000000"/>
        </w:rPr>
        <w:t>•</w:t>
      </w:r>
      <w:r>
        <w:rPr>
          <w:rFonts w:ascii="Times New Roman;serif" w:hAnsi="Times New Roman;serif"/>
          <w:b w:val="false"/>
          <w:color w:val="000000"/>
          <w:sz w:val="24"/>
        </w:rPr>
        <w:t>will not constitute legal advice that a proposed transaction complies with applicable law;</w:t>
      </w:r>
    </w:p>
    <w:p>
      <w:pPr>
        <w:pStyle w:val="TextBody"/>
        <w:bidi w:val="0"/>
        <w:spacing w:lineRule="auto" w:line="288" w:before="0" w:after="240"/>
        <w:ind w:left="0" w:right="0" w:firstLine="360"/>
        <w:jc w:val="both"/>
        <w:rPr/>
      </w:pPr>
      <w:r>
        <w:rPr>
          <w:color w:val="000000"/>
        </w:rPr>
        <w:t>•</w:t>
      </w:r>
      <w:r>
        <w:rPr>
          <w:rFonts w:ascii="Times New Roman;serif" w:hAnsi="Times New Roman;serif"/>
          <w:b w:val="false"/>
          <w:color w:val="000000"/>
          <w:sz w:val="24"/>
        </w:rPr>
        <w:t>will not result in liability to the Company or any other person if delayed or withheld; and</w:t>
      </w:r>
    </w:p>
    <w:p>
      <w:pPr>
        <w:pStyle w:val="TextBody"/>
        <w:bidi w:val="0"/>
        <w:spacing w:lineRule="auto" w:line="288" w:before="0" w:after="240"/>
        <w:ind w:left="0" w:right="0" w:firstLine="360"/>
        <w:jc w:val="both"/>
        <w:rPr/>
      </w:pPr>
      <w:r>
        <w:rPr>
          <w:color w:val="000000"/>
        </w:rPr>
        <w:t>•</w:t>
      </w:r>
      <w:r>
        <w:rPr>
          <w:rFonts w:ascii="Times New Roman;serif" w:hAnsi="Times New Roman;serif"/>
          <w:b w:val="false"/>
          <w:color w:val="000000"/>
          <w:sz w:val="24"/>
        </w:rPr>
        <w:t>is not required for “sell-to-cover” transactions pursuant to a policy adopted by the Company or transactions under a previously approved Rule 10b5-1 plan or a previously approved non-Rule 10b5-1 trading arrangement.</w:t>
      </w:r>
    </w:p>
    <w:p>
      <w:pPr>
        <w:pStyle w:val="TextBody"/>
        <w:bidi w:val="0"/>
        <w:spacing w:lineRule="auto" w:line="288" w:before="0" w:after="240"/>
        <w:jc w:val="left"/>
        <w:rPr>
          <w:rFonts w:ascii="Times New Roman;serif" w:hAnsi="Times New Roman;serif"/>
          <w:b/>
          <w:color w:val="000000"/>
          <w:sz w:val="24"/>
          <w:u w:val="single"/>
        </w:rPr>
      </w:pPr>
      <w:r>
        <w:rPr>
          <w:rFonts w:ascii="Times New Roman;serif" w:hAnsi="Times New Roman;serif"/>
          <w:b/>
          <w:color w:val="000000"/>
          <w:sz w:val="24"/>
          <w:u w:val="single"/>
        </w:rPr>
        <w:t>Exempt Transactions</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This policy, except for provisions set forth in the Prohibited Transactions section below, does not apply to:</w:t>
      </w:r>
    </w:p>
    <w:p>
      <w:pPr>
        <w:pStyle w:val="TextBody"/>
        <w:bidi w:val="0"/>
        <w:spacing w:lineRule="auto" w:line="288" w:before="0" w:after="240"/>
        <w:ind w:left="0" w:right="0" w:firstLine="360"/>
        <w:jc w:val="both"/>
        <w:rPr/>
      </w:pPr>
      <w:r>
        <w:rPr>
          <w:color w:val="000000"/>
        </w:rPr>
        <w:t>•</w:t>
      </w:r>
      <w:r>
        <w:rPr>
          <w:rFonts w:ascii="Times New Roman;serif" w:hAnsi="Times New Roman;serif"/>
          <w:b w:val="false"/>
          <w:color w:val="000000"/>
          <w:sz w:val="24"/>
        </w:rPr>
        <w:t>transactions directly with the Company;</w:t>
      </w:r>
    </w:p>
    <w:p>
      <w:pPr>
        <w:pStyle w:val="TextBody"/>
        <w:bidi w:val="0"/>
        <w:spacing w:lineRule="auto" w:line="288" w:before="0" w:after="240"/>
        <w:ind w:left="0" w:right="0" w:firstLine="360"/>
        <w:jc w:val="both"/>
        <w:rPr/>
      </w:pPr>
      <w:r>
        <w:rPr>
          <w:color w:val="000000"/>
        </w:rPr>
        <w:t>•</w:t>
      </w:r>
      <w:r>
        <w:rPr>
          <w:rFonts w:ascii="Times New Roman;serif" w:hAnsi="Times New Roman;serif"/>
          <w:b w:val="false"/>
          <w:color w:val="000000"/>
          <w:sz w:val="24"/>
        </w:rPr>
        <w:t>gift transactions for family or estate planning purposes, where securities are gifted to a person or entity subject to this policy, except that gift transactions involving Company securities are subject to pre-clearance;</w:t>
      </w:r>
    </w:p>
    <w:p>
      <w:pPr>
        <w:pStyle w:val="TextBody"/>
        <w:bidi w:val="0"/>
        <w:spacing w:lineRule="auto" w:line="288" w:before="0" w:after="240"/>
        <w:ind w:left="0" w:right="0" w:firstLine="360"/>
        <w:jc w:val="both"/>
        <w:rPr/>
      </w:pPr>
      <w:r>
        <w:rPr>
          <w:color w:val="000000"/>
        </w:rPr>
        <w:t>•</w:t>
      </w:r>
      <w:r>
        <w:rPr>
          <w:rFonts w:ascii="Times New Roman;serif" w:hAnsi="Times New Roman;serif"/>
          <w:b w:val="false"/>
          <w:color w:val="000000"/>
          <w:sz w:val="24"/>
        </w:rPr>
        <w:t>transactions relating to equity incentive awards without any open-market sale of securities (e.g., cash exercises of stock options or the “net settlement” of restricted stock units but not broker-assisted cashless exercises or open-market sales to cover taxes upon the vesting of restricted stock units);</w:t>
      </w:r>
    </w:p>
    <w:p>
      <w:pPr>
        <w:pStyle w:val="TextBody"/>
        <w:bidi w:val="0"/>
        <w:spacing w:lineRule="auto" w:line="288" w:before="0" w:after="240"/>
        <w:ind w:left="0" w:right="0" w:firstLine="360"/>
        <w:jc w:val="both"/>
        <w:rPr/>
      </w:pPr>
      <w:r>
        <w:rPr>
          <w:color w:val="000000"/>
        </w:rPr>
        <w:t>•“</w:t>
      </w:r>
      <w:r>
        <w:rPr>
          <w:rFonts w:ascii="Times New Roman;serif" w:hAnsi="Times New Roman;serif"/>
          <w:b w:val="false"/>
          <w:color w:val="000000"/>
          <w:sz w:val="24"/>
        </w:rPr>
        <w:t xml:space="preserve">sell-to-cover” transactions pursuant to a non-discretionary policy adopted by the Company that is intended to facilitate the payment of withholding taxes associated with vesting of equity awards (other than stock options); </w:t>
      </w:r>
    </w:p>
    <w:p>
      <w:pPr>
        <w:pStyle w:val="TextBody"/>
        <w:bidi w:val="0"/>
        <w:spacing w:lineRule="auto" w:line="288" w:before="0" w:after="240"/>
        <w:ind w:left="0" w:right="0" w:firstLine="360"/>
        <w:jc w:val="both"/>
        <w:rPr/>
      </w:pPr>
      <w:r>
        <w:rPr>
          <w:color w:val="000000"/>
        </w:rPr>
        <w:t>•</w:t>
      </w:r>
      <w:r>
        <w:rPr>
          <w:rFonts w:ascii="Times New Roman;serif" w:hAnsi="Times New Roman;serif"/>
          <w:b w:val="false"/>
          <w:color w:val="000000"/>
          <w:sz w:val="24"/>
        </w:rPr>
        <w:t xml:space="preserve">transactions under a pre-cleared Rule 10b5-1 plan; or </w:t>
      </w:r>
    </w:p>
    <w:p>
      <w:pPr>
        <w:pStyle w:val="TextBody"/>
        <w:bidi w:val="0"/>
        <w:spacing w:lineRule="auto" w:line="288" w:before="0" w:after="240"/>
        <w:ind w:left="0" w:right="0" w:firstLine="360"/>
        <w:jc w:val="both"/>
        <w:rPr/>
      </w:pPr>
      <w:r>
        <w:rPr>
          <w:color w:val="000000"/>
        </w:rPr>
        <w:t>•</w:t>
      </w:r>
      <w:r>
        <w:rPr>
          <w:rFonts w:ascii="Times New Roman;serif" w:hAnsi="Times New Roman;serif"/>
          <w:b w:val="false"/>
          <w:color w:val="000000"/>
          <w:sz w:val="24"/>
        </w:rPr>
        <w:t xml:space="preserve">transactions under a pre-cleared non-Rule 10b5-1 trading arrangement as defined in Item 408(c) of Regulation S-K). </w:t>
      </w:r>
    </w:p>
    <w:p>
      <w:pPr>
        <w:pStyle w:val="TextBody"/>
        <w:bidi w:val="0"/>
        <w:spacing w:lineRule="auto" w:line="288" w:before="0" w:after="240"/>
        <w:jc w:val="left"/>
        <w:rPr>
          <w:rFonts w:ascii="Times New Roman;serif" w:hAnsi="Times New Roman;serif"/>
          <w:b/>
          <w:color w:val="000000"/>
          <w:sz w:val="24"/>
          <w:u w:val="single"/>
        </w:rPr>
      </w:pPr>
      <w:r>
        <w:rPr>
          <w:rFonts w:ascii="Times New Roman;serif" w:hAnsi="Times New Roman;serif"/>
          <w:b/>
          <w:color w:val="000000"/>
          <w:sz w:val="24"/>
          <w:u w:val="single"/>
        </w:rPr>
        <w:t>Trading Plans</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The restrictions in this policy, except for provisions set forth in the Prohibited Transactions section below, do not apply to transactions under a trading plan that satisfies either:</w:t>
      </w:r>
    </w:p>
    <w:p>
      <w:pPr>
        <w:pStyle w:val="TextBody"/>
        <w:bidi w:val="0"/>
        <w:spacing w:lineRule="auto" w:line="288" w:before="0" w:after="240"/>
        <w:ind w:left="0" w:right="0" w:firstLine="360"/>
        <w:jc w:val="both"/>
        <w:rPr/>
      </w:pPr>
      <w:r>
        <w:rPr>
          <w:color w:val="000000"/>
        </w:rPr>
        <w:t>•</w:t>
      </w:r>
      <w:r>
        <w:rPr>
          <w:rFonts w:ascii="Times New Roman;serif" w:hAnsi="Times New Roman;serif"/>
          <w:b w:val="false"/>
          <w:color w:val="000000"/>
          <w:sz w:val="24"/>
        </w:rPr>
        <w:t>the conditions of Rule 10b5-1; or</w:t>
      </w:r>
    </w:p>
    <w:p>
      <w:pPr>
        <w:pStyle w:val="TextBody"/>
        <w:bidi w:val="0"/>
        <w:spacing w:lineRule="auto" w:line="288" w:before="0" w:after="240"/>
        <w:ind w:left="0" w:right="0" w:firstLine="360"/>
        <w:jc w:val="both"/>
        <w:rPr/>
      </w:pPr>
      <w:r>
        <w:rPr>
          <w:color w:val="000000"/>
        </w:rPr>
        <w:t>•</w:t>
      </w:r>
      <w:r>
        <w:rPr>
          <w:rFonts w:ascii="Times New Roman;serif" w:hAnsi="Times New Roman;serif"/>
          <w:b w:val="false"/>
          <w:color w:val="000000"/>
          <w:sz w:val="24"/>
        </w:rPr>
        <w:t>the elements of a non-Rule 10b5-1 trading arrangement as defined in Item 408(c) of Regulation S-K; and</w:t>
      </w:r>
    </w:p>
    <w:p>
      <w:pPr>
        <w:pStyle w:val="TextBody"/>
        <w:bidi w:val="0"/>
        <w:spacing w:lineRule="auto" w:line="288" w:before="0" w:after="240"/>
        <w:ind w:left="0" w:right="0" w:firstLine="360"/>
        <w:jc w:val="both"/>
        <w:rPr/>
      </w:pPr>
      <w:r>
        <w:rPr>
          <w:color w:val="000000"/>
        </w:rPr>
        <w:t>•</w:t>
      </w:r>
      <w:r>
        <w:rPr>
          <w:rFonts w:ascii="Times New Roman;serif" w:hAnsi="Times New Roman;serif"/>
          <w:b w:val="false"/>
          <w:color w:val="000000"/>
          <w:sz w:val="24"/>
        </w:rPr>
        <w:t xml:space="preserve">the Compliance Officer has pre-approved. </w:t>
      </w:r>
    </w:p>
    <w:p>
      <w:pPr>
        <w:pStyle w:val="TextBody"/>
        <w:bidi w:val="0"/>
        <w:spacing w:before="0" w:after="0"/>
        <w:jc w:val="right"/>
        <w:rPr/>
      </w:pPr>
      <w:r>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6480175" cy="313055"/>
                <wp:effectExtent l="0" t="0" r="0" b="0"/>
                <wp:wrapNone/>
                <wp:docPr id="270" name="Frame266"/>
                <a:graphic xmlns:a="http://schemas.openxmlformats.org/drawingml/2006/main">
                  <a:graphicData uri="http://schemas.microsoft.com/office/word/2010/wordprocessingShape">
                    <wps:wsp>
                      <wps:cNvSpPr txBox="1"/>
                      <wps:spPr>
                        <a:xfrm>
                          <a:off x="0" y="0"/>
                          <a:ext cx="6480175" cy="3130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3</w:t>
                            </w:r>
                            <w:r>
                              <w:br w:type="page"/>
                            </w:r>
                          </w:p>
                          <w:p>
                            <w:pPr>
                              <w:pStyle w:val="TextBody"/>
                              <w:bidi w:val="0"/>
                              <w:spacing w:lineRule="auto" w:line="288" w:before="0" w:after="0"/>
                              <w:jc w:val="left"/>
                              <w:rPr>
                                <w:rFonts w:ascii="sans-serif" w:hAnsi="sans-serif"/>
                                <w:b w:val="false"/>
                                <w:color w:val="000000"/>
                                <w:sz w:val="16"/>
                              </w:rPr>
                            </w:pPr>
                            <w:r>
                              <w:rPr>
                                <w:rFonts w:ascii="sans-serif" w:hAnsi="sans-serif"/>
                                <w:b w:val="false"/>
                                <w:color w:val="000000"/>
                                <w:sz w:val="16"/>
                              </w:rPr>
                              <w:t>|US-DOCS\158007884.2||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3</w:t>
                      </w:r>
                    </w:p>
                    <w:p>
                      <w:pPr>
                        <w:pStyle w:val="TextBody"/>
                        <w:bidi w:val="0"/>
                        <w:spacing w:lineRule="auto" w:line="288" w:before="0" w:after="0"/>
                        <w:jc w:val="left"/>
                        <w:rPr>
                          <w:rFonts w:ascii="sans-serif" w:hAnsi="sans-serif"/>
                          <w:b w:val="false"/>
                          <w:color w:val="000000"/>
                          <w:sz w:val="16"/>
                        </w:rPr>
                      </w:pPr>
                      <w:r>
                        <w:rPr>
                          <w:rFonts w:ascii="sans-serif" w:hAnsi="sans-serif"/>
                          <w:b w:val="false"/>
                          <w:color w:val="000000"/>
                          <w:sz w:val="16"/>
                        </w:rPr>
                        <w:t>|US-DOCS\158007884.2||</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A trading plan may be modified outside of a blackout period when you do not possess material nonpublic information. Modifications to and terminations of a trading plan must be pre-approved by the Compliance Officer. </w:t>
      </w:r>
    </w:p>
    <w:p>
      <w:pPr>
        <w:pStyle w:val="TextBody"/>
        <w:bidi w:val="0"/>
        <w:spacing w:lineRule="auto" w:line="288" w:before="0" w:after="240"/>
        <w:jc w:val="left"/>
        <w:rPr>
          <w:rFonts w:ascii="Times New Roman;serif" w:hAnsi="Times New Roman;serif"/>
          <w:b/>
          <w:color w:val="000000"/>
          <w:sz w:val="24"/>
          <w:u w:val="single"/>
        </w:rPr>
      </w:pPr>
      <w:r>
        <w:rPr>
          <w:rFonts w:ascii="Times New Roman;serif" w:hAnsi="Times New Roman;serif"/>
          <w:b/>
          <w:color w:val="000000"/>
          <w:sz w:val="24"/>
          <w:u w:val="single"/>
        </w:rPr>
        <w:t>Prohibited Transactions</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You may not engage in:</w:t>
      </w:r>
    </w:p>
    <w:p>
      <w:pPr>
        <w:pStyle w:val="TextBody"/>
        <w:bidi w:val="0"/>
        <w:spacing w:lineRule="auto" w:line="288" w:before="0" w:after="240"/>
        <w:ind w:left="0" w:right="0" w:firstLine="360"/>
        <w:jc w:val="both"/>
        <w:rPr/>
      </w:pPr>
      <w:r>
        <w:rPr>
          <w:color w:val="000000"/>
        </w:rPr>
        <w:t>•</w:t>
      </w:r>
      <w:r>
        <w:rPr>
          <w:rFonts w:ascii="Times New Roman;serif" w:hAnsi="Times New Roman;serif"/>
          <w:b w:val="false"/>
          <w:color w:val="000000"/>
          <w:sz w:val="24"/>
        </w:rPr>
        <w:t>short sales (i.e., sales of shares that you do not own at the time of sale);</w:t>
      </w:r>
    </w:p>
    <w:p>
      <w:pPr>
        <w:pStyle w:val="TextBody"/>
        <w:bidi w:val="0"/>
        <w:spacing w:lineRule="auto" w:line="288" w:before="0" w:after="240"/>
        <w:ind w:left="0" w:right="0" w:firstLine="360"/>
        <w:jc w:val="both"/>
        <w:rPr/>
      </w:pPr>
      <w:r>
        <w:rPr>
          <w:color w:val="000000"/>
        </w:rPr>
        <w:t>•</w:t>
      </w:r>
      <w:r>
        <w:rPr>
          <w:rFonts w:ascii="Times New Roman;serif" w:hAnsi="Times New Roman;serif"/>
          <w:b w:val="false"/>
          <w:color w:val="000000"/>
          <w:sz w:val="24"/>
        </w:rPr>
        <w:t>options trading, including puts, calls, or other derivative securities on an exchange, an over-the-counter market, or any other organized market;</w:t>
      </w:r>
    </w:p>
    <w:p>
      <w:pPr>
        <w:pStyle w:val="TextBody"/>
        <w:bidi w:val="0"/>
        <w:spacing w:lineRule="auto" w:line="288" w:before="0" w:after="240"/>
        <w:ind w:left="0" w:right="0" w:firstLine="360"/>
        <w:jc w:val="both"/>
        <w:rPr/>
      </w:pPr>
      <w:r>
        <w:rPr>
          <w:color w:val="000000"/>
        </w:rPr>
        <w:t>•</w:t>
      </w:r>
      <w:r>
        <w:rPr>
          <w:rFonts w:ascii="Times New Roman;serif" w:hAnsi="Times New Roman;serif"/>
          <w:b w:val="false"/>
          <w:color w:val="000000"/>
          <w:sz w:val="24"/>
        </w:rPr>
        <w:t>hedging transactions, such as prepaid variable forward contracts, equity swaps, collars, exchange funds, or other transactions that hedge or offset any decrease in market value of the Company’s equity securities; and</w:t>
      </w:r>
    </w:p>
    <w:p>
      <w:pPr>
        <w:pStyle w:val="TextBody"/>
        <w:bidi w:val="0"/>
        <w:spacing w:lineRule="auto" w:line="288" w:before="0" w:after="240"/>
        <w:ind w:left="0" w:right="0" w:firstLine="360"/>
        <w:jc w:val="both"/>
        <w:rPr/>
      </w:pPr>
      <w:r>
        <w:rPr>
          <w:color w:val="000000"/>
        </w:rPr>
        <w:t>•</w:t>
      </w:r>
      <w:r>
        <w:rPr>
          <w:rFonts w:ascii="Times New Roman;serif" w:hAnsi="Times New Roman;serif"/>
          <w:b w:val="false"/>
          <w:color w:val="000000"/>
          <w:sz w:val="24"/>
        </w:rPr>
        <w:t>pledging Company securities as collateral for a loan, purchasing Company securities on margin (i.e., borrowing money to purchase the securities), or placing Company securities in a margin account, unless approved in advance by the Compliance Officer.</w:t>
      </w:r>
    </w:p>
    <w:p>
      <w:pPr>
        <w:pStyle w:val="TextBody"/>
        <w:bidi w:val="0"/>
        <w:spacing w:lineRule="auto" w:line="288" w:before="0" w:after="240"/>
        <w:jc w:val="left"/>
        <w:rPr>
          <w:rFonts w:ascii="Times New Roman;serif" w:hAnsi="Times New Roman;serif"/>
          <w:b/>
          <w:color w:val="000000"/>
          <w:sz w:val="24"/>
          <w:u w:val="single"/>
        </w:rPr>
      </w:pPr>
      <w:r>
        <w:rPr>
          <w:rFonts w:ascii="Times New Roman;serif" w:hAnsi="Times New Roman;serif"/>
          <w:b/>
          <w:color w:val="000000"/>
          <w:sz w:val="24"/>
          <w:u w:val="single"/>
        </w:rPr>
        <w:t>Post-Termination Transactions</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If you possess material nonpublic information when your employment by or service to the Company terminates, the restrictions set forth in “Policy Statement” above continue to apply until that information has become public or is no longer material.</w:t>
      </w:r>
    </w:p>
    <w:p>
      <w:pPr>
        <w:pStyle w:val="TextBody"/>
        <w:bidi w:val="0"/>
        <w:spacing w:lineRule="auto" w:line="288" w:before="0" w:after="240"/>
        <w:jc w:val="left"/>
        <w:rPr>
          <w:rFonts w:ascii="Times New Roman;serif" w:hAnsi="Times New Roman;serif"/>
          <w:b/>
          <w:color w:val="000000"/>
          <w:sz w:val="24"/>
          <w:u w:val="single"/>
        </w:rPr>
      </w:pPr>
      <w:r>
        <w:rPr>
          <w:rFonts w:ascii="Times New Roman;serif" w:hAnsi="Times New Roman;serif"/>
          <w:b/>
          <w:color w:val="000000"/>
          <w:sz w:val="24"/>
          <w:u w:val="single"/>
        </w:rPr>
        <w:t>Policy Administration</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The Compliance Officer has authority to interpret, amend and implement this policy. This authority includes interpreting or waiving the terms of the policy, to the extent consistent with its general purpose and applicable securities laws. The Chief Financial Officer will administer the policy as it applies to any trading activity by the Compliance Officer. The Board will approve any waiver of the terms of this policy for directors or executive officers.</w:t>
      </w:r>
    </w:p>
    <w:p>
      <w:pPr>
        <w:pStyle w:val="TextBody"/>
        <w:bidi w:val="0"/>
        <w:spacing w:lineRule="auto" w:line="288" w:before="0" w:after="240"/>
        <w:jc w:val="left"/>
        <w:rPr>
          <w:rFonts w:ascii="Times New Roman;serif" w:hAnsi="Times New Roman;serif"/>
          <w:b/>
          <w:color w:val="000000"/>
          <w:sz w:val="24"/>
          <w:u w:val="single"/>
        </w:rPr>
      </w:pPr>
      <w:r>
        <w:rPr>
          <w:rFonts w:ascii="Times New Roman;serif" w:hAnsi="Times New Roman;serif"/>
          <w:b/>
          <w:color w:val="000000"/>
          <w:sz w:val="24"/>
          <w:u w:val="single"/>
        </w:rPr>
        <w:t>Certification of Compliance</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You may be asked periodically to certify your compliance with the terms and provisions of this policy.</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21" w:before="0" w:after="160"/>
        <w:jc w:val="right"/>
        <w:rPr>
          <w:rFonts w:ascii="Times New Roman;serif" w:hAnsi="Times New Roman;serif"/>
          <w:b/>
          <w:color w:val="000000"/>
          <w:sz w:val="24"/>
        </w:rPr>
      </w:pPr>
      <w:r>
        <w:rPr>
          <w:rFonts w:ascii="Times New Roman;serif" w:hAnsi="Times New Roman;serif"/>
          <w:b/>
          <w:color w:val="000000"/>
          <w:sz w:val="24"/>
        </w:rPr>
        <w:t>Exhibit 21.1</w:t>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6480175" cy="313055"/>
                <wp:effectExtent l="0" t="0" r="0" b="0"/>
                <wp:wrapNone/>
                <wp:docPr id="271" name="Frame267"/>
                <a:graphic xmlns:a="http://schemas.openxmlformats.org/drawingml/2006/main">
                  <a:graphicData uri="http://schemas.microsoft.com/office/word/2010/wordprocessingShape">
                    <wps:wsp>
                      <wps:cNvSpPr txBox="1"/>
                      <wps:spPr>
                        <a:xfrm>
                          <a:off x="0" y="0"/>
                          <a:ext cx="6480175" cy="3130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4</w:t>
                            </w:r>
                          </w:p>
                          <w:p>
                            <w:pPr>
                              <w:pStyle w:val="TextBody"/>
                              <w:bidi w:val="0"/>
                              <w:spacing w:lineRule="auto" w:line="288" w:before="0" w:after="0"/>
                              <w:jc w:val="left"/>
                              <w:rPr>
                                <w:rFonts w:ascii="sans-serif" w:hAnsi="sans-serif"/>
                                <w:b w:val="false"/>
                                <w:color w:val="000000"/>
                                <w:sz w:val="16"/>
                              </w:rPr>
                            </w:pPr>
                            <w:r>
                              <w:rPr>
                                <w:rFonts w:ascii="sans-serif" w:hAnsi="sans-serif"/>
                                <w:b w:val="false"/>
                                <w:color w:val="000000"/>
                                <w:sz w:val="16"/>
                              </w:rPr>
                              <w:t>|US-DOCS\158007884.2||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65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4</w:t>
                      </w:r>
                    </w:p>
                    <w:p>
                      <w:pPr>
                        <w:pStyle w:val="TextBody"/>
                        <w:bidi w:val="0"/>
                        <w:spacing w:lineRule="auto" w:line="288" w:before="0" w:after="0"/>
                        <w:jc w:val="left"/>
                        <w:rPr>
                          <w:rFonts w:ascii="sans-serif" w:hAnsi="sans-serif"/>
                          <w:b w:val="false"/>
                          <w:color w:val="000000"/>
                          <w:sz w:val="16"/>
                        </w:rPr>
                      </w:pPr>
                      <w:r>
                        <w:rPr>
                          <w:rFonts w:ascii="sans-serif" w:hAnsi="sans-serif"/>
                          <w:b w:val="false"/>
                          <w:color w:val="000000"/>
                          <w:sz w:val="16"/>
                        </w:rPr>
                        <w:t>|US-DOCS\158007884.2||</w:t>
                      </w:r>
                    </w:p>
                  </w:txbxContent>
                </v:textbox>
                <w10:wrap type="none"/>
              </v:rect>
            </w:pict>
          </mc:Fallback>
        </mc:AlternateContent>
      </w:r>
    </w:p>
    <w:p>
      <w:pPr>
        <w:pStyle w:val="TextBody"/>
        <w:bidi w:val="0"/>
        <w:spacing w:lineRule="auto" w:line="321" w:before="0" w:after="160"/>
        <w:jc w:val="center"/>
        <w:rPr>
          <w:rFonts w:ascii="Times New Roman;serif" w:hAnsi="Times New Roman;serif"/>
          <w:b/>
          <w:color w:val="000000"/>
          <w:sz w:val="24"/>
          <w:u w:val="single"/>
        </w:rPr>
      </w:pPr>
      <w:r>
        <w:rPr>
          <w:rFonts w:ascii="Times New Roman;serif" w:hAnsi="Times New Roman;serif"/>
          <w:b/>
          <w:color w:val="000000"/>
          <w:sz w:val="24"/>
          <w:u w:val="single"/>
        </w:rPr>
        <w:t>Subsidiaries of Figure Technology Solutions, Inc.</w:t>
      </w:r>
    </w:p>
    <w:tbl>
      <w:tblPr>
        <w:tblW w:w="5221" w:type="dxa"/>
        <w:jc w:val="center"/>
        <w:tblInd w:w="0" w:type="dxa"/>
        <w:tblLayout w:type="fixed"/>
        <w:tblCellMar>
          <w:top w:w="28" w:type="dxa"/>
          <w:left w:w="28" w:type="dxa"/>
          <w:bottom w:w="28" w:type="dxa"/>
          <w:right w:w="28" w:type="dxa"/>
        </w:tblCellMar>
      </w:tblPr>
      <w:tblGrid>
        <w:gridCol w:w="1401"/>
        <w:gridCol w:w="1232"/>
        <w:gridCol w:w="1237"/>
        <w:gridCol w:w="395"/>
        <w:gridCol w:w="395"/>
        <w:gridCol w:w="561"/>
      </w:tblGrid>
      <w:tr>
        <w:trPr/>
        <w:tc>
          <w:tcPr>
            <w:tcW w:w="1401"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160"/>
              <w:jc w:val="left"/>
              <w:rPr>
                <w:rFonts w:ascii="Times New Roman;serif" w:hAnsi="Times New Roman;serif"/>
                <w:b/>
                <w:color w:val="000000"/>
                <w:sz w:val="24"/>
                <w:u w:val="single"/>
              </w:rPr>
            </w:pPr>
            <w:r>
              <w:rPr>
                <w:rFonts w:ascii="Times New Roman;serif" w:hAnsi="Times New Roman;serif"/>
                <w:b/>
                <w:color w:val="000000"/>
                <w:sz w:val="24"/>
                <w:u w:val="single"/>
              </w:rPr>
              <w:t>Subsidiary</w:t>
            </w:r>
          </w:p>
        </w:tc>
        <w:tc>
          <w:tcPr>
            <w:tcW w:w="135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21" w:before="0" w:after="160"/>
              <w:jc w:val="left"/>
              <w:rPr>
                <w:rFonts w:ascii="Times New Roman;serif" w:hAnsi="Times New Roman;serif"/>
                <w:b/>
                <w:color w:val="000000"/>
                <w:sz w:val="24"/>
                <w:u w:val="single"/>
              </w:rPr>
            </w:pPr>
            <w:r>
              <w:rPr>
                <w:rFonts w:ascii="Times New Roman;serif" w:hAnsi="Times New Roman;serif"/>
                <w:b/>
                <w:color w:val="000000"/>
                <w:sz w:val="24"/>
                <w:u w:val="single"/>
              </w:rPr>
              <w:t>Jurisdiction</w:t>
            </w:r>
          </w:p>
        </w:tc>
      </w:tr>
      <w:tr>
        <w:trPr/>
        <w:tc>
          <w:tcPr>
            <w:tcW w:w="387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Figure Lending Corp.</w:t>
            </w:r>
          </w:p>
        </w:tc>
        <w:tc>
          <w:tcPr>
            <w:tcW w:w="135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387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DART Trademark LLC</w:t>
            </w:r>
          </w:p>
        </w:tc>
        <w:tc>
          <w:tcPr>
            <w:tcW w:w="135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387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Figure Lending LLC</w:t>
            </w:r>
          </w:p>
        </w:tc>
        <w:tc>
          <w:tcPr>
            <w:tcW w:w="135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387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DART Collateral Manager LLC</w:t>
            </w:r>
          </w:p>
        </w:tc>
        <w:tc>
          <w:tcPr>
            <w:tcW w:w="135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387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Figure Loan Trust 2023</w:t>
            </w:r>
          </w:p>
        </w:tc>
        <w:tc>
          <w:tcPr>
            <w:tcW w:w="135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387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Figure Asset Funding LLC</w:t>
            </w:r>
          </w:p>
        </w:tc>
        <w:tc>
          <w:tcPr>
            <w:tcW w:w="135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387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Figure Line of Credit Trust 2020-1</w:t>
            </w:r>
          </w:p>
        </w:tc>
        <w:tc>
          <w:tcPr>
            <w:tcW w:w="135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387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Figure HELOC Master Depositor Trust</w:t>
            </w:r>
          </w:p>
        </w:tc>
        <w:tc>
          <w:tcPr>
            <w:tcW w:w="135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387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Figure Lending Borrower I, LLC</w:t>
            </w:r>
          </w:p>
        </w:tc>
        <w:tc>
          <w:tcPr>
            <w:tcW w:w="135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387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Figure REPO Warehouse I, LLC</w:t>
            </w:r>
          </w:p>
        </w:tc>
        <w:tc>
          <w:tcPr>
            <w:tcW w:w="135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387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Figure Lending Borrower II Trust</w:t>
            </w:r>
          </w:p>
        </w:tc>
        <w:tc>
          <w:tcPr>
            <w:tcW w:w="135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387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Figure PL I, LLC</w:t>
            </w:r>
          </w:p>
        </w:tc>
        <w:tc>
          <w:tcPr>
            <w:tcW w:w="135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387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Figure TCB Borrower LLC</w:t>
            </w:r>
          </w:p>
        </w:tc>
        <w:tc>
          <w:tcPr>
            <w:tcW w:w="135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387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Figure Lending Borrower II LLC</w:t>
            </w:r>
          </w:p>
        </w:tc>
        <w:tc>
          <w:tcPr>
            <w:tcW w:w="135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387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Fig SSP Member LLC</w:t>
            </w:r>
          </w:p>
        </w:tc>
        <w:tc>
          <w:tcPr>
            <w:tcW w:w="135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387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Fig Six Mortgage LLC</w:t>
            </w:r>
          </w:p>
        </w:tc>
        <w:tc>
          <w:tcPr>
            <w:tcW w:w="135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387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Fig Six Realty Investment LLC</w:t>
            </w:r>
          </w:p>
        </w:tc>
        <w:tc>
          <w:tcPr>
            <w:tcW w:w="135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387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Fig Six Mortgage Sponsor LLC</w:t>
            </w:r>
          </w:p>
        </w:tc>
        <w:tc>
          <w:tcPr>
            <w:tcW w:w="135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387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Fig Six Offshore Holdco, LLC</w:t>
            </w:r>
          </w:p>
        </w:tc>
        <w:tc>
          <w:tcPr>
            <w:tcW w:w="135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387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Fig Six Finance 1 LLC</w:t>
            </w:r>
          </w:p>
        </w:tc>
        <w:tc>
          <w:tcPr>
            <w:tcW w:w="135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387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 xml:space="preserve">Fig Six Purchaser Trust </w:t>
            </w:r>
          </w:p>
        </w:tc>
        <w:tc>
          <w:tcPr>
            <w:tcW w:w="135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387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Fig Six Depositor Trust</w:t>
            </w:r>
          </w:p>
        </w:tc>
        <w:tc>
          <w:tcPr>
            <w:tcW w:w="135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387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Fig Six Finance 1 Trust</w:t>
            </w:r>
          </w:p>
        </w:tc>
        <w:tc>
          <w:tcPr>
            <w:tcW w:w="135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387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FIGRE Trust 2023-HE1</w:t>
            </w:r>
          </w:p>
        </w:tc>
        <w:tc>
          <w:tcPr>
            <w:tcW w:w="135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387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FIGRE Trust 2023-HE1a2</w:t>
            </w:r>
          </w:p>
        </w:tc>
        <w:tc>
          <w:tcPr>
            <w:tcW w:w="135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387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FIGRE Trust 2023-HE2</w:t>
            </w:r>
          </w:p>
        </w:tc>
        <w:tc>
          <w:tcPr>
            <w:tcW w:w="135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387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FIGRE Trust 2023-HE3</w:t>
            </w:r>
          </w:p>
        </w:tc>
        <w:tc>
          <w:tcPr>
            <w:tcW w:w="135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387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FIGRE Trust 2024-HE1</w:t>
            </w:r>
          </w:p>
        </w:tc>
        <w:tc>
          <w:tcPr>
            <w:tcW w:w="135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387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FIGRE Trust 2024-HE2</w:t>
            </w:r>
          </w:p>
        </w:tc>
        <w:tc>
          <w:tcPr>
            <w:tcW w:w="135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387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FIGRE Trust 2024-HE3</w:t>
            </w:r>
          </w:p>
        </w:tc>
        <w:tc>
          <w:tcPr>
            <w:tcW w:w="135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387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FIGRE Trust 2024-HE4</w:t>
            </w:r>
          </w:p>
        </w:tc>
        <w:tc>
          <w:tcPr>
            <w:tcW w:w="135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387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FIGRE Trust 2024-HE5</w:t>
            </w:r>
          </w:p>
        </w:tc>
        <w:tc>
          <w:tcPr>
            <w:tcW w:w="135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387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FIGRE Trust 2024-SL1</w:t>
            </w:r>
          </w:p>
        </w:tc>
        <w:tc>
          <w:tcPr>
            <w:tcW w:w="135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387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FIGRE Trust 2024-HE6</w:t>
            </w:r>
          </w:p>
        </w:tc>
        <w:tc>
          <w:tcPr>
            <w:tcW w:w="135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387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FIGRE Trust 2026-HE1</w:t>
            </w:r>
          </w:p>
        </w:tc>
        <w:tc>
          <w:tcPr>
            <w:tcW w:w="135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387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FIGRE Trust 2025-HE1</w:t>
            </w:r>
          </w:p>
        </w:tc>
        <w:tc>
          <w:tcPr>
            <w:tcW w:w="135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387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21" w:before="0" w:after="160"/>
              <w:jc w:val="both"/>
              <w:rPr>
                <w:rFonts w:ascii="Times New Roman;serif" w:hAnsi="Times New Roman;serif"/>
                <w:b w:val="false"/>
                <w:color w:val="000000"/>
                <w:sz w:val="24"/>
              </w:rPr>
            </w:pPr>
            <w:r>
              <w:rPr>
                <w:rFonts w:ascii="Times New Roman;serif" w:hAnsi="Times New Roman;serif"/>
                <w:b w:val="false"/>
                <w:color w:val="000000"/>
                <w:sz w:val="24"/>
              </w:rPr>
              <w:t>FIGRE Trust 2025-HE2</w:t>
            </w:r>
          </w:p>
        </w:tc>
        <w:tc>
          <w:tcPr>
            <w:tcW w:w="135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3870"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21" w:before="0" w:after="160"/>
              <w:jc w:val="both"/>
              <w:rPr>
                <w:rFonts w:ascii="Times New Roman;serif" w:hAnsi="Times New Roman;serif"/>
                <w:b w:val="false"/>
                <w:color w:val="000000"/>
                <w:sz w:val="24"/>
              </w:rPr>
            </w:pPr>
            <w:r>
              <w:rPr>
                <w:rFonts w:ascii="Times New Roman;serif" w:hAnsi="Times New Roman;serif"/>
                <w:b w:val="false"/>
                <w:color w:val="000000"/>
                <w:sz w:val="24"/>
              </w:rPr>
              <w:t>FIGRE Trust 2025-HE3</w:t>
            </w:r>
          </w:p>
        </w:tc>
        <w:tc>
          <w:tcPr>
            <w:tcW w:w="1351"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Delaware</w:t>
            </w:r>
          </w:p>
        </w:tc>
      </w:tr>
    </w:tbl>
    <w:p>
      <w:pPr>
        <w:pStyle w:val="TextBody"/>
        <w:bidi w:val="0"/>
        <w:spacing w:lineRule="auto" w:line="321" w:before="0" w:after="160"/>
        <w:jc w:val="right"/>
        <w:rPr>
          <w:rFonts w:ascii="Times New Roman;serif" w:hAnsi="Times New Roman;serif"/>
          <w:b/>
          <w:color w:val="000000"/>
          <w:sz w:val="24"/>
        </w:rPr>
      </w:pPr>
      <w:r>
        <w:rPr>
          <w:rFonts w:ascii="Times New Roman;serif" w:hAnsi="Times New Roman;serif"/>
          <w:b/>
          <w:color w:val="000000"/>
          <w:sz w:val="24"/>
        </w:rPr>
        <w:t>Exhibit 21.1</w:t>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6480175" cy="388620"/>
                <wp:effectExtent l="0" t="0" r="0" b="0"/>
                <wp:wrapNone/>
                <wp:docPr id="272" name="Frame268"/>
                <a:graphic xmlns:a="http://schemas.openxmlformats.org/drawingml/2006/main">
                  <a:graphicData uri="http://schemas.microsoft.com/office/word/2010/wordprocessingShape">
                    <wps:wsp>
                      <wps:cNvSpPr txBox="1"/>
                      <wps:spPr>
                        <a:xfrm>
                          <a:off x="0" y="0"/>
                          <a:ext cx="6480175" cy="388620"/>
                        </a:xfrm>
                        <a:prstGeom prst="rect"/>
                        <a:solidFill>
                          <a:srgbClr val="FFFFFF"/>
                        </a:solidFill>
                      </wps:spPr>
                      <wps:txbx>
                        <w:txbxContent>
                          <w:p>
                            <w:pPr>
                              <w:pStyle w:val="TextBody"/>
                              <w:bidi w:val="0"/>
                              <w:spacing w:lineRule="auto" w:line="288" w:before="0" w:after="0"/>
                              <w:jc w:val="center"/>
                              <w:rPr>
                                <w:rFonts w:ascii="Aptos;sans-serif" w:hAnsi="Aptos;sans-serif"/>
                                <w:b w:val="false"/>
                                <w:color w:val="000000"/>
                                <w:sz w:val="24"/>
                              </w:rPr>
                            </w:pPr>
                            <w:r>
                              <w:rPr>
                                <w:rFonts w:ascii="Aptos;sans-serif" w:hAnsi="Aptos;sans-serif"/>
                                <w:b w:val="false"/>
                                <w:color w:val="000000"/>
                                <w:sz w:val="24"/>
                              </w:rPr>
                              <w:t>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6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Aptos;sans-serif" w:hAnsi="Aptos;sans-serif"/>
                          <w:b w:val="false"/>
                          <w:color w:val="000000"/>
                          <w:sz w:val="24"/>
                        </w:rPr>
                      </w:pPr>
                      <w:r>
                        <w:rPr>
                          <w:rFonts w:ascii="Aptos;sans-serif" w:hAnsi="Aptos;sans-serif"/>
                          <w:b w:val="false"/>
                          <w:color w:val="000000"/>
                          <w:sz w:val="24"/>
                        </w:rPr>
                        <w:t>1</w:t>
                      </w:r>
                    </w:p>
                    <w:p>
                      <w:pPr>
                        <w:pStyle w:val="TextBody"/>
                        <w:bidi w:val="0"/>
                        <w:spacing w:before="0" w:after="0"/>
                        <w:jc w:val="left"/>
                        <w:rPr/>
                      </w:pPr>
                      <w:r>
                        <w:rPr/>
                      </w:r>
                    </w:p>
                  </w:txbxContent>
                </v:textbox>
                <w10:wrap type="none"/>
              </v:rect>
            </w:pict>
          </mc:Fallback>
        </mc:AlternateContent>
      </w:r>
    </w:p>
    <w:tbl>
      <w:tblPr>
        <w:tblW w:w="6660" w:type="dxa"/>
        <w:jc w:val="center"/>
        <w:tblInd w:w="0" w:type="dxa"/>
        <w:tblLayout w:type="fixed"/>
        <w:tblCellMar>
          <w:top w:w="28" w:type="dxa"/>
          <w:left w:w="28" w:type="dxa"/>
          <w:bottom w:w="28" w:type="dxa"/>
          <w:right w:w="28" w:type="dxa"/>
        </w:tblCellMar>
      </w:tblPr>
      <w:tblGrid>
        <w:gridCol w:w="1625"/>
        <w:gridCol w:w="1427"/>
        <w:gridCol w:w="1433"/>
        <w:gridCol w:w="635"/>
        <w:gridCol w:w="635"/>
        <w:gridCol w:w="905"/>
      </w:tblGrid>
      <w:tr>
        <w:trPr/>
        <w:tc>
          <w:tcPr>
            <w:tcW w:w="1625"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21" w:before="0" w:after="160"/>
              <w:jc w:val="both"/>
              <w:rPr>
                <w:rFonts w:ascii="Times New Roman;serif" w:hAnsi="Times New Roman;serif"/>
                <w:b w:val="false"/>
                <w:color w:val="000000"/>
                <w:sz w:val="24"/>
              </w:rPr>
            </w:pPr>
            <w:r>
              <w:rPr>
                <w:rFonts w:ascii="Times New Roman;serif" w:hAnsi="Times New Roman;serif"/>
                <w:b w:val="false"/>
                <w:color w:val="000000"/>
                <w:sz w:val="24"/>
              </w:rPr>
              <w:t>FIGRE Trust 2025-HE4</w:t>
            </w:r>
          </w:p>
        </w:tc>
        <w:tc>
          <w:tcPr>
            <w:tcW w:w="217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448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21" w:before="0" w:after="160"/>
              <w:jc w:val="both"/>
              <w:rPr>
                <w:rFonts w:ascii="Times New Roman;serif" w:hAnsi="Times New Roman;serif"/>
                <w:b w:val="false"/>
                <w:color w:val="000000"/>
                <w:sz w:val="24"/>
              </w:rPr>
            </w:pPr>
            <w:r>
              <w:rPr>
                <w:rFonts w:ascii="Times New Roman;serif" w:hAnsi="Times New Roman;serif"/>
                <w:b w:val="false"/>
                <w:color w:val="000000"/>
                <w:sz w:val="24"/>
              </w:rPr>
              <w:t>FIGRE Trust 2025-HE5</w:t>
            </w:r>
          </w:p>
        </w:tc>
        <w:tc>
          <w:tcPr>
            <w:tcW w:w="217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448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21" w:before="0" w:after="160"/>
              <w:jc w:val="both"/>
              <w:rPr>
                <w:rFonts w:ascii="Times New Roman;serif" w:hAnsi="Times New Roman;serif"/>
                <w:b w:val="false"/>
                <w:color w:val="000000"/>
                <w:sz w:val="24"/>
              </w:rPr>
            </w:pPr>
            <w:r>
              <w:rPr>
                <w:rFonts w:ascii="Times New Roman;serif" w:hAnsi="Times New Roman;serif"/>
                <w:b w:val="false"/>
                <w:color w:val="000000"/>
                <w:sz w:val="24"/>
              </w:rPr>
              <w:t>FIGRE Trust 2025-HE6</w:t>
            </w:r>
          </w:p>
        </w:tc>
        <w:tc>
          <w:tcPr>
            <w:tcW w:w="217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448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21" w:before="0" w:after="160"/>
              <w:jc w:val="both"/>
              <w:rPr>
                <w:rFonts w:ascii="Times New Roman;serif" w:hAnsi="Times New Roman;serif"/>
                <w:b w:val="false"/>
                <w:color w:val="000000"/>
                <w:sz w:val="24"/>
              </w:rPr>
            </w:pPr>
            <w:r>
              <w:rPr>
                <w:rFonts w:ascii="Times New Roman;serif" w:hAnsi="Times New Roman;serif"/>
                <w:b w:val="false"/>
                <w:color w:val="000000"/>
                <w:sz w:val="24"/>
              </w:rPr>
              <w:t>FIGRE Trust 2025-HE7</w:t>
            </w:r>
          </w:p>
        </w:tc>
        <w:tc>
          <w:tcPr>
            <w:tcW w:w="217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448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21" w:before="0" w:after="160"/>
              <w:jc w:val="both"/>
              <w:rPr>
                <w:rFonts w:ascii="Times New Roman;serif" w:hAnsi="Times New Roman;serif"/>
                <w:b w:val="false"/>
                <w:color w:val="000000"/>
                <w:sz w:val="24"/>
              </w:rPr>
            </w:pPr>
            <w:r>
              <w:rPr>
                <w:rFonts w:ascii="Times New Roman;serif" w:hAnsi="Times New Roman;serif"/>
                <w:b w:val="false"/>
                <w:color w:val="000000"/>
                <w:sz w:val="24"/>
              </w:rPr>
              <w:t>FIGRE Trust 2025-HE8</w:t>
            </w:r>
          </w:p>
        </w:tc>
        <w:tc>
          <w:tcPr>
            <w:tcW w:w="217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448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21" w:before="0" w:after="160"/>
              <w:jc w:val="both"/>
              <w:rPr>
                <w:rFonts w:ascii="Times New Roman;serif" w:hAnsi="Times New Roman;serif"/>
                <w:b w:val="false"/>
                <w:color w:val="000000"/>
                <w:sz w:val="24"/>
              </w:rPr>
            </w:pPr>
            <w:r>
              <w:rPr>
                <w:rFonts w:ascii="Times New Roman;serif" w:hAnsi="Times New Roman;serif"/>
                <w:b w:val="false"/>
                <w:color w:val="000000"/>
                <w:sz w:val="24"/>
              </w:rPr>
              <w:t>FIGRE Trust 2025-PF1</w:t>
            </w:r>
          </w:p>
        </w:tc>
        <w:tc>
          <w:tcPr>
            <w:tcW w:w="217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448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21" w:before="0" w:after="160"/>
              <w:jc w:val="both"/>
              <w:rPr>
                <w:rFonts w:ascii="Times New Roman;serif" w:hAnsi="Times New Roman;serif"/>
                <w:b w:val="false"/>
                <w:color w:val="000000"/>
                <w:sz w:val="24"/>
              </w:rPr>
            </w:pPr>
            <w:r>
              <w:rPr>
                <w:rFonts w:ascii="Times New Roman;serif" w:hAnsi="Times New Roman;serif"/>
                <w:b w:val="false"/>
                <w:color w:val="000000"/>
                <w:sz w:val="24"/>
              </w:rPr>
              <w:t>FIGRE Trust 2025-PF2</w:t>
            </w:r>
          </w:p>
        </w:tc>
        <w:tc>
          <w:tcPr>
            <w:tcW w:w="217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448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21" w:before="0" w:after="160"/>
              <w:jc w:val="both"/>
              <w:rPr>
                <w:rFonts w:ascii="Times New Roman;serif" w:hAnsi="Times New Roman;serif"/>
                <w:b w:val="false"/>
                <w:color w:val="000000"/>
                <w:sz w:val="24"/>
              </w:rPr>
            </w:pPr>
            <w:r>
              <w:rPr>
                <w:rFonts w:ascii="Times New Roman;serif" w:hAnsi="Times New Roman;serif"/>
                <w:b w:val="false"/>
                <w:color w:val="000000"/>
                <w:sz w:val="24"/>
              </w:rPr>
              <w:t>FIGRE Trust 2025-FL1</w:t>
            </w:r>
          </w:p>
        </w:tc>
        <w:tc>
          <w:tcPr>
            <w:tcW w:w="217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448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21" w:before="0" w:after="160"/>
              <w:jc w:val="both"/>
              <w:rPr>
                <w:rFonts w:ascii="Times New Roman;serif" w:hAnsi="Times New Roman;serif"/>
                <w:b w:val="false"/>
                <w:color w:val="000000"/>
                <w:sz w:val="24"/>
              </w:rPr>
            </w:pPr>
            <w:r>
              <w:rPr>
                <w:rFonts w:ascii="Times New Roman;serif" w:hAnsi="Times New Roman;serif"/>
                <w:b w:val="false"/>
                <w:color w:val="000000"/>
                <w:sz w:val="24"/>
              </w:rPr>
              <w:t>FIGRE Trust 2025-FL2</w:t>
            </w:r>
          </w:p>
        </w:tc>
        <w:tc>
          <w:tcPr>
            <w:tcW w:w="217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448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21" w:before="0" w:after="160"/>
              <w:jc w:val="both"/>
              <w:rPr>
                <w:rFonts w:ascii="Times New Roman;serif" w:hAnsi="Times New Roman;serif"/>
                <w:b w:val="false"/>
                <w:color w:val="000000"/>
                <w:sz w:val="24"/>
              </w:rPr>
            </w:pPr>
            <w:r>
              <w:rPr>
                <w:rFonts w:ascii="Times New Roman;serif" w:hAnsi="Times New Roman;serif"/>
                <w:b w:val="false"/>
                <w:color w:val="000000"/>
                <w:sz w:val="24"/>
              </w:rPr>
              <w:t>Figure Markets Holdings, Inc.</w:t>
            </w:r>
          </w:p>
        </w:tc>
        <w:tc>
          <w:tcPr>
            <w:tcW w:w="217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448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21" w:before="0" w:after="160"/>
              <w:jc w:val="both"/>
              <w:rPr>
                <w:rFonts w:ascii="Times New Roman;serif" w:hAnsi="Times New Roman;serif"/>
                <w:b w:val="false"/>
                <w:color w:val="000000"/>
                <w:sz w:val="24"/>
              </w:rPr>
            </w:pPr>
            <w:r>
              <w:rPr>
                <w:rFonts w:ascii="Times New Roman;serif" w:hAnsi="Times New Roman;serif"/>
                <w:b w:val="false"/>
                <w:color w:val="000000"/>
                <w:sz w:val="24"/>
              </w:rPr>
              <w:t>Figure Technologies, LLC</w:t>
            </w:r>
          </w:p>
        </w:tc>
        <w:tc>
          <w:tcPr>
            <w:tcW w:w="217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448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21" w:before="0" w:after="160"/>
              <w:jc w:val="both"/>
              <w:rPr>
                <w:rFonts w:ascii="Times New Roman;serif" w:hAnsi="Times New Roman;serif"/>
                <w:b w:val="false"/>
                <w:color w:val="000000"/>
                <w:sz w:val="24"/>
              </w:rPr>
            </w:pPr>
            <w:r>
              <w:rPr>
                <w:rFonts w:ascii="Times New Roman;serif" w:hAnsi="Times New Roman;serif"/>
                <w:b w:val="false"/>
                <w:color w:val="000000"/>
                <w:sz w:val="24"/>
              </w:rPr>
              <w:t>Figure Asset Management LLC</w:t>
            </w:r>
          </w:p>
        </w:tc>
        <w:tc>
          <w:tcPr>
            <w:tcW w:w="217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448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21" w:before="0" w:after="160"/>
              <w:jc w:val="both"/>
              <w:rPr>
                <w:rFonts w:ascii="Times New Roman;serif" w:hAnsi="Times New Roman;serif"/>
                <w:b w:val="false"/>
                <w:color w:val="000000"/>
                <w:sz w:val="24"/>
              </w:rPr>
            </w:pPr>
            <w:r>
              <w:rPr>
                <w:rFonts w:ascii="Times New Roman;serif" w:hAnsi="Times New Roman;serif"/>
                <w:b w:val="false"/>
                <w:color w:val="000000"/>
                <w:sz w:val="24"/>
              </w:rPr>
              <w:t>Figure Equity Solutions, Inc.</w:t>
            </w:r>
          </w:p>
        </w:tc>
        <w:tc>
          <w:tcPr>
            <w:tcW w:w="217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448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21" w:before="0" w:after="160"/>
              <w:jc w:val="both"/>
              <w:rPr>
                <w:rFonts w:ascii="Times New Roman;serif" w:hAnsi="Times New Roman;serif"/>
                <w:b w:val="false"/>
                <w:color w:val="000000"/>
                <w:sz w:val="24"/>
              </w:rPr>
            </w:pPr>
            <w:r>
              <w:rPr>
                <w:rFonts w:ascii="Times New Roman;serif" w:hAnsi="Times New Roman;serif"/>
                <w:b w:val="false"/>
                <w:color w:val="000000"/>
                <w:sz w:val="24"/>
              </w:rPr>
              <w:t>Figure Certificate Company</w:t>
            </w:r>
          </w:p>
        </w:tc>
        <w:tc>
          <w:tcPr>
            <w:tcW w:w="217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448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21" w:before="0" w:after="160"/>
              <w:jc w:val="both"/>
              <w:rPr>
                <w:rFonts w:ascii="Times New Roman;serif" w:hAnsi="Times New Roman;serif"/>
                <w:b w:val="false"/>
                <w:color w:val="000000"/>
                <w:sz w:val="24"/>
              </w:rPr>
            </w:pPr>
            <w:r>
              <w:rPr>
                <w:rFonts w:ascii="Times New Roman;serif" w:hAnsi="Times New Roman;serif"/>
                <w:b w:val="false"/>
                <w:color w:val="000000"/>
                <w:sz w:val="24"/>
              </w:rPr>
              <w:t>Figure Markets, Inc.</w:t>
            </w:r>
          </w:p>
        </w:tc>
        <w:tc>
          <w:tcPr>
            <w:tcW w:w="217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448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21" w:before="0" w:after="160"/>
              <w:jc w:val="both"/>
              <w:rPr>
                <w:rFonts w:ascii="Times New Roman;serif" w:hAnsi="Times New Roman;serif"/>
                <w:b w:val="false"/>
                <w:color w:val="000000"/>
                <w:sz w:val="24"/>
              </w:rPr>
            </w:pPr>
            <w:r>
              <w:rPr>
                <w:rFonts w:ascii="Times New Roman;serif" w:hAnsi="Times New Roman;serif"/>
                <w:b w:val="false"/>
                <w:color w:val="000000"/>
                <w:sz w:val="24"/>
              </w:rPr>
              <w:t>Figure Payments Corporation</w:t>
            </w:r>
          </w:p>
        </w:tc>
        <w:tc>
          <w:tcPr>
            <w:tcW w:w="217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Nevada</w:t>
            </w:r>
          </w:p>
        </w:tc>
      </w:tr>
      <w:tr>
        <w:trPr/>
        <w:tc>
          <w:tcPr>
            <w:tcW w:w="448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21" w:before="0" w:after="160"/>
              <w:jc w:val="both"/>
              <w:rPr>
                <w:rFonts w:ascii="Times New Roman;serif" w:hAnsi="Times New Roman;serif"/>
                <w:b w:val="false"/>
                <w:color w:val="000000"/>
                <w:sz w:val="24"/>
              </w:rPr>
            </w:pPr>
            <w:r>
              <w:rPr>
                <w:rFonts w:ascii="Times New Roman;serif" w:hAnsi="Times New Roman;serif"/>
                <w:b w:val="false"/>
                <w:color w:val="000000"/>
                <w:sz w:val="24"/>
              </w:rPr>
              <w:t>Figure Payments of California, Inc.</w:t>
            </w:r>
          </w:p>
        </w:tc>
        <w:tc>
          <w:tcPr>
            <w:tcW w:w="217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California</w:t>
            </w:r>
          </w:p>
        </w:tc>
      </w:tr>
      <w:tr>
        <w:trPr/>
        <w:tc>
          <w:tcPr>
            <w:tcW w:w="448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21" w:before="0" w:after="160"/>
              <w:jc w:val="both"/>
              <w:rPr>
                <w:rFonts w:ascii="Times New Roman;serif" w:hAnsi="Times New Roman;serif"/>
                <w:b w:val="false"/>
                <w:color w:val="000000"/>
                <w:sz w:val="24"/>
              </w:rPr>
            </w:pPr>
            <w:r>
              <w:rPr>
                <w:rFonts w:ascii="Times New Roman;serif" w:hAnsi="Times New Roman;serif"/>
                <w:b w:val="false"/>
                <w:color w:val="000000"/>
                <w:sz w:val="24"/>
              </w:rPr>
              <w:t>Figure Markets Trading, LLC</w:t>
            </w:r>
          </w:p>
        </w:tc>
        <w:tc>
          <w:tcPr>
            <w:tcW w:w="217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448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21" w:before="0" w:after="160"/>
              <w:jc w:val="both"/>
              <w:rPr>
                <w:rFonts w:ascii="Times New Roman;serif" w:hAnsi="Times New Roman;serif"/>
                <w:b w:val="false"/>
                <w:color w:val="000000"/>
                <w:sz w:val="24"/>
              </w:rPr>
            </w:pPr>
            <w:r>
              <w:rPr>
                <w:rFonts w:ascii="Times New Roman;serif" w:hAnsi="Times New Roman;serif"/>
                <w:b w:val="false"/>
                <w:color w:val="000000"/>
                <w:sz w:val="24"/>
              </w:rPr>
              <w:t>Figure Securities, Inc.</w:t>
            </w:r>
          </w:p>
        </w:tc>
        <w:tc>
          <w:tcPr>
            <w:tcW w:w="217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448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21" w:before="0" w:after="160"/>
              <w:jc w:val="both"/>
              <w:rPr>
                <w:rFonts w:ascii="Times New Roman;serif" w:hAnsi="Times New Roman;serif"/>
                <w:b w:val="false"/>
                <w:color w:val="000000"/>
                <w:sz w:val="24"/>
              </w:rPr>
            </w:pPr>
            <w:r>
              <w:rPr>
                <w:rFonts w:ascii="Times New Roman;serif" w:hAnsi="Times New Roman;serif"/>
                <w:b w:val="false"/>
                <w:color w:val="000000"/>
                <w:sz w:val="24"/>
              </w:rPr>
              <w:t>Figure Markets Credit LLC</w:t>
            </w:r>
          </w:p>
        </w:tc>
        <w:tc>
          <w:tcPr>
            <w:tcW w:w="217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448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21" w:before="0" w:after="160"/>
              <w:jc w:val="both"/>
              <w:rPr>
                <w:rFonts w:ascii="Times New Roman;serif" w:hAnsi="Times New Roman;serif"/>
                <w:b w:val="false"/>
                <w:color w:val="000000"/>
                <w:sz w:val="24"/>
              </w:rPr>
            </w:pPr>
            <w:r>
              <w:rPr>
                <w:rFonts w:ascii="Times New Roman;serif" w:hAnsi="Times New Roman;serif"/>
                <w:b w:val="false"/>
                <w:color w:val="000000"/>
                <w:sz w:val="24"/>
              </w:rPr>
              <w:t>Figure Markets Credit Cayman Islands, Ltd</w:t>
            </w:r>
          </w:p>
        </w:tc>
        <w:tc>
          <w:tcPr>
            <w:tcW w:w="217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Cayman Islands</w:t>
            </w:r>
          </w:p>
        </w:tc>
      </w:tr>
      <w:tr>
        <w:trPr/>
        <w:tc>
          <w:tcPr>
            <w:tcW w:w="448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21" w:before="0" w:after="160"/>
              <w:jc w:val="both"/>
              <w:rPr>
                <w:rFonts w:ascii="Times New Roman;serif" w:hAnsi="Times New Roman;serif"/>
                <w:b w:val="false"/>
                <w:color w:val="000000"/>
                <w:sz w:val="24"/>
              </w:rPr>
            </w:pPr>
            <w:r>
              <w:rPr>
                <w:rFonts w:ascii="Times New Roman;serif" w:hAnsi="Times New Roman;serif"/>
                <w:b w:val="false"/>
                <w:color w:val="000000"/>
                <w:sz w:val="24"/>
              </w:rPr>
              <w:t>Figure Markets Cayman Islands Ltd</w:t>
            </w:r>
          </w:p>
        </w:tc>
        <w:tc>
          <w:tcPr>
            <w:tcW w:w="217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Cayman Islands</w:t>
            </w:r>
          </w:p>
        </w:tc>
      </w:tr>
      <w:tr>
        <w:trPr/>
        <w:tc>
          <w:tcPr>
            <w:tcW w:w="448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21" w:before="0" w:after="160"/>
              <w:jc w:val="both"/>
              <w:rPr>
                <w:rFonts w:ascii="Times New Roman;serif" w:hAnsi="Times New Roman;serif"/>
                <w:b w:val="false"/>
                <w:color w:val="000000"/>
                <w:sz w:val="24"/>
              </w:rPr>
            </w:pPr>
            <w:r>
              <w:rPr>
                <w:rFonts w:ascii="Times New Roman;serif" w:hAnsi="Times New Roman;serif"/>
                <w:b w:val="false"/>
                <w:color w:val="000000"/>
                <w:sz w:val="24"/>
              </w:rPr>
              <w:t>Figure Markets Middle East Holdings Limited</w:t>
            </w:r>
          </w:p>
        </w:tc>
        <w:tc>
          <w:tcPr>
            <w:tcW w:w="217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Dubai</w:t>
            </w:r>
          </w:p>
        </w:tc>
      </w:tr>
      <w:tr>
        <w:trPr/>
        <w:tc>
          <w:tcPr>
            <w:tcW w:w="448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21" w:before="0" w:after="160"/>
              <w:jc w:val="both"/>
              <w:rPr>
                <w:rFonts w:ascii="Times New Roman;serif" w:hAnsi="Times New Roman;serif"/>
                <w:b w:val="false"/>
                <w:color w:val="000000"/>
                <w:sz w:val="24"/>
              </w:rPr>
            </w:pPr>
            <w:r>
              <w:rPr>
                <w:rFonts w:ascii="Times New Roman;serif" w:hAnsi="Times New Roman;serif"/>
                <w:b w:val="false"/>
                <w:color w:val="000000"/>
                <w:sz w:val="24"/>
              </w:rPr>
              <w:t>Figure Markets Ireland Limited</w:t>
            </w:r>
          </w:p>
        </w:tc>
        <w:tc>
          <w:tcPr>
            <w:tcW w:w="217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Ireland</w:t>
            </w:r>
          </w:p>
        </w:tc>
      </w:tr>
      <w:tr>
        <w:trPr/>
        <w:tc>
          <w:tcPr>
            <w:tcW w:w="448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21" w:before="0" w:after="160"/>
              <w:jc w:val="both"/>
              <w:rPr>
                <w:rFonts w:ascii="Times New Roman;serif" w:hAnsi="Times New Roman;serif"/>
                <w:b w:val="false"/>
                <w:color w:val="000000"/>
                <w:sz w:val="24"/>
              </w:rPr>
            </w:pPr>
            <w:r>
              <w:rPr>
                <w:rFonts w:ascii="Times New Roman;serif" w:hAnsi="Times New Roman;serif"/>
                <w:b w:val="false"/>
                <w:color w:val="000000"/>
                <w:sz w:val="24"/>
              </w:rPr>
              <w:t>Figure Markets (BVI) GP Limited</w:t>
            </w:r>
          </w:p>
        </w:tc>
        <w:tc>
          <w:tcPr>
            <w:tcW w:w="217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British Virgin Islands</w:t>
            </w:r>
          </w:p>
        </w:tc>
      </w:tr>
      <w:tr>
        <w:trPr/>
        <w:tc>
          <w:tcPr>
            <w:tcW w:w="448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21" w:before="0" w:after="160"/>
              <w:jc w:val="both"/>
              <w:rPr>
                <w:rFonts w:ascii="Times New Roman;serif" w:hAnsi="Times New Roman;serif"/>
                <w:b w:val="false"/>
                <w:color w:val="000000"/>
                <w:sz w:val="24"/>
              </w:rPr>
            </w:pPr>
            <w:r>
              <w:rPr>
                <w:rFonts w:ascii="Times New Roman;serif" w:hAnsi="Times New Roman;serif"/>
                <w:b w:val="false"/>
                <w:color w:val="000000"/>
                <w:sz w:val="24"/>
              </w:rPr>
              <w:t>Fam GP Sub 1, LLC</w:t>
            </w:r>
          </w:p>
        </w:tc>
        <w:tc>
          <w:tcPr>
            <w:tcW w:w="217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448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21" w:before="0" w:after="160"/>
              <w:jc w:val="both"/>
              <w:rPr>
                <w:rFonts w:ascii="Times New Roman;serif" w:hAnsi="Times New Roman;serif"/>
                <w:b w:val="false"/>
                <w:color w:val="000000"/>
                <w:sz w:val="24"/>
              </w:rPr>
            </w:pPr>
            <w:r>
              <w:rPr>
                <w:rFonts w:ascii="Times New Roman;serif" w:hAnsi="Times New Roman;serif"/>
                <w:b w:val="false"/>
                <w:color w:val="000000"/>
                <w:sz w:val="24"/>
              </w:rPr>
              <w:t>Fam GP Sub 2, LLC</w:t>
            </w:r>
          </w:p>
        </w:tc>
        <w:tc>
          <w:tcPr>
            <w:tcW w:w="217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448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21" w:before="0" w:after="160"/>
              <w:jc w:val="both"/>
              <w:rPr>
                <w:rFonts w:ascii="Times New Roman;serif" w:hAnsi="Times New Roman;serif"/>
                <w:b w:val="false"/>
                <w:color w:val="000000"/>
                <w:sz w:val="24"/>
              </w:rPr>
            </w:pPr>
            <w:r>
              <w:rPr>
                <w:rFonts w:ascii="Times New Roman;serif" w:hAnsi="Times New Roman;serif"/>
                <w:b w:val="false"/>
                <w:color w:val="000000"/>
                <w:sz w:val="24"/>
              </w:rPr>
              <w:t>Figure Investment Advisors, LLC</w:t>
            </w:r>
          </w:p>
        </w:tc>
        <w:tc>
          <w:tcPr>
            <w:tcW w:w="217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448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21" w:before="0" w:after="160"/>
              <w:jc w:val="both"/>
              <w:rPr>
                <w:rFonts w:ascii="Times New Roman;serif" w:hAnsi="Times New Roman;serif"/>
                <w:b w:val="false"/>
                <w:color w:val="000000"/>
                <w:sz w:val="24"/>
              </w:rPr>
            </w:pPr>
            <w:r>
              <w:rPr>
                <w:rFonts w:ascii="Times New Roman;serif" w:hAnsi="Times New Roman;serif"/>
                <w:b w:val="false"/>
                <w:color w:val="000000"/>
                <w:sz w:val="24"/>
              </w:rPr>
              <w:t>Figure Market Margin LLC</w:t>
            </w:r>
          </w:p>
        </w:tc>
        <w:tc>
          <w:tcPr>
            <w:tcW w:w="217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448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21" w:before="0" w:after="160"/>
              <w:jc w:val="both"/>
              <w:rPr>
                <w:rFonts w:ascii="Times New Roman;serif" w:hAnsi="Times New Roman;serif"/>
                <w:b w:val="false"/>
                <w:color w:val="000000"/>
                <w:sz w:val="24"/>
              </w:rPr>
            </w:pPr>
            <w:r>
              <w:rPr>
                <w:rFonts w:ascii="Times New Roman;serif" w:hAnsi="Times New Roman;serif"/>
                <w:b w:val="false"/>
                <w:color w:val="000000"/>
                <w:sz w:val="24"/>
              </w:rPr>
              <w:t>Figure Demo Prime 1, LLC</w:t>
            </w:r>
          </w:p>
        </w:tc>
        <w:tc>
          <w:tcPr>
            <w:tcW w:w="217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448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21" w:before="0" w:after="160"/>
              <w:jc w:val="both"/>
              <w:rPr>
                <w:rFonts w:ascii="Times New Roman;serif" w:hAnsi="Times New Roman;serif"/>
                <w:b w:val="false"/>
                <w:color w:val="000000"/>
                <w:sz w:val="24"/>
              </w:rPr>
            </w:pPr>
            <w:r>
              <w:rPr>
                <w:rFonts w:ascii="Times New Roman;serif" w:hAnsi="Times New Roman;serif"/>
                <w:b w:val="false"/>
                <w:color w:val="000000"/>
                <w:sz w:val="24"/>
              </w:rPr>
              <w:t>Figure Markets ME Exchange DMCC</w:t>
            </w:r>
          </w:p>
        </w:tc>
        <w:tc>
          <w:tcPr>
            <w:tcW w:w="217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Dubai</w:t>
            </w:r>
          </w:p>
        </w:tc>
      </w:tr>
      <w:tr>
        <w:trPr/>
        <w:tc>
          <w:tcPr>
            <w:tcW w:w="448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21" w:before="0" w:after="160"/>
              <w:jc w:val="both"/>
              <w:rPr>
                <w:rFonts w:ascii="Times New Roman;serif" w:hAnsi="Times New Roman;serif"/>
                <w:b w:val="false"/>
                <w:color w:val="000000"/>
                <w:sz w:val="24"/>
              </w:rPr>
            </w:pPr>
            <w:r>
              <w:rPr>
                <w:rFonts w:ascii="Times New Roman;serif" w:hAnsi="Times New Roman;serif"/>
                <w:b w:val="false"/>
                <w:color w:val="000000"/>
                <w:sz w:val="24"/>
              </w:rPr>
              <w:t>Figure Markets Opportunity Investment LP</w:t>
            </w:r>
          </w:p>
        </w:tc>
        <w:tc>
          <w:tcPr>
            <w:tcW w:w="217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British Virgin Islands</w:t>
            </w:r>
          </w:p>
        </w:tc>
      </w:tr>
      <w:tr>
        <w:trPr/>
        <w:tc>
          <w:tcPr>
            <w:tcW w:w="448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21" w:before="0" w:after="160"/>
              <w:jc w:val="both"/>
              <w:rPr>
                <w:rFonts w:ascii="Times New Roman;serif" w:hAnsi="Times New Roman;serif"/>
                <w:b w:val="false"/>
                <w:color w:val="000000"/>
                <w:sz w:val="24"/>
              </w:rPr>
            </w:pPr>
            <w:r>
              <w:rPr>
                <w:rFonts w:ascii="Times New Roman;serif" w:hAnsi="Times New Roman;serif"/>
                <w:b w:val="false"/>
                <w:color w:val="000000"/>
                <w:sz w:val="24"/>
              </w:rPr>
              <w:t>Figure Markets Cayman GP Limited</w:t>
            </w:r>
          </w:p>
        </w:tc>
        <w:tc>
          <w:tcPr>
            <w:tcW w:w="217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Cayman Islands</w:t>
            </w:r>
          </w:p>
        </w:tc>
      </w:tr>
      <w:tr>
        <w:trPr/>
        <w:tc>
          <w:tcPr>
            <w:tcW w:w="448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21" w:before="0" w:after="160"/>
              <w:jc w:val="both"/>
              <w:rPr>
                <w:rFonts w:ascii="Times New Roman;serif" w:hAnsi="Times New Roman;serif"/>
                <w:b w:val="false"/>
                <w:color w:val="000000"/>
                <w:sz w:val="24"/>
              </w:rPr>
            </w:pPr>
            <w:r>
              <w:rPr>
                <w:rFonts w:ascii="Times New Roman;serif" w:hAnsi="Times New Roman;serif"/>
                <w:b w:val="false"/>
                <w:color w:val="000000"/>
                <w:sz w:val="24"/>
              </w:rPr>
              <w:t>SOL Opportunity Fund LP</w:t>
            </w:r>
          </w:p>
        </w:tc>
        <w:tc>
          <w:tcPr>
            <w:tcW w:w="217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448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21" w:before="0" w:after="160"/>
              <w:jc w:val="both"/>
              <w:rPr>
                <w:rFonts w:ascii="Times New Roman;serif" w:hAnsi="Times New Roman;serif"/>
                <w:b w:val="false"/>
                <w:color w:val="000000"/>
                <w:sz w:val="24"/>
              </w:rPr>
            </w:pPr>
            <w:r>
              <w:rPr>
                <w:rFonts w:ascii="Times New Roman;serif" w:hAnsi="Times New Roman;serif"/>
                <w:b w:val="false"/>
                <w:color w:val="000000"/>
                <w:sz w:val="24"/>
              </w:rPr>
              <w:t>Figure REIT, Inc.</w:t>
            </w:r>
          </w:p>
        </w:tc>
        <w:tc>
          <w:tcPr>
            <w:tcW w:w="217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Maryland</w:t>
            </w:r>
          </w:p>
        </w:tc>
      </w:tr>
      <w:tr>
        <w:trPr/>
        <w:tc>
          <w:tcPr>
            <w:tcW w:w="448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21" w:before="0" w:after="160"/>
              <w:jc w:val="both"/>
              <w:rPr>
                <w:rFonts w:ascii="Times New Roman;serif" w:hAnsi="Times New Roman;serif"/>
                <w:b w:val="false"/>
                <w:color w:val="000000"/>
                <w:sz w:val="24"/>
              </w:rPr>
            </w:pPr>
            <w:r>
              <w:rPr>
                <w:rFonts w:ascii="Times New Roman;serif" w:hAnsi="Times New Roman;serif"/>
                <w:b w:val="false"/>
                <w:color w:val="000000"/>
                <w:sz w:val="24"/>
              </w:rPr>
              <w:t>Figure Markets Real World Asset Fund, LP</w:t>
            </w:r>
          </w:p>
        </w:tc>
        <w:tc>
          <w:tcPr>
            <w:tcW w:w="217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Cayman Islands</w:t>
            </w:r>
          </w:p>
        </w:tc>
      </w:tr>
      <w:tr>
        <w:trPr/>
        <w:tc>
          <w:tcPr>
            <w:tcW w:w="448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21" w:before="0" w:after="160"/>
              <w:jc w:val="both"/>
              <w:rPr>
                <w:rFonts w:ascii="Times New Roman;serif" w:hAnsi="Times New Roman;serif"/>
                <w:b w:val="false"/>
                <w:color w:val="000000"/>
                <w:sz w:val="24"/>
              </w:rPr>
            </w:pPr>
            <w:r>
              <w:rPr>
                <w:rFonts w:ascii="Times New Roman;serif" w:hAnsi="Times New Roman;serif"/>
                <w:b w:val="false"/>
                <w:color w:val="000000"/>
                <w:sz w:val="24"/>
              </w:rPr>
              <w:t>Figure Financial, Inc.</w:t>
            </w:r>
          </w:p>
        </w:tc>
        <w:tc>
          <w:tcPr>
            <w:tcW w:w="217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448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21" w:before="0" w:after="160"/>
              <w:jc w:val="both"/>
              <w:rPr>
                <w:rFonts w:ascii="Times New Roman;serif" w:hAnsi="Times New Roman;serif"/>
                <w:b w:val="false"/>
                <w:color w:val="000000"/>
                <w:sz w:val="24"/>
              </w:rPr>
            </w:pPr>
            <w:r>
              <w:rPr>
                <w:rFonts w:ascii="Times New Roman;serif" w:hAnsi="Times New Roman;serif"/>
                <w:b w:val="false"/>
                <w:color w:val="000000"/>
                <w:sz w:val="24"/>
              </w:rPr>
              <w:t>Figure REIT Trust I</w:t>
            </w:r>
          </w:p>
        </w:tc>
        <w:tc>
          <w:tcPr>
            <w:tcW w:w="217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448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Figure REIT Trust II</w:t>
            </w:r>
          </w:p>
        </w:tc>
        <w:tc>
          <w:tcPr>
            <w:tcW w:w="217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448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Figure REIT TRS LLC</w:t>
            </w:r>
          </w:p>
        </w:tc>
        <w:tc>
          <w:tcPr>
            <w:tcW w:w="217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448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Demo Prime 1 Trust</w:t>
            </w:r>
          </w:p>
        </w:tc>
        <w:tc>
          <w:tcPr>
            <w:tcW w:w="2175"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Delaware</w:t>
            </w:r>
          </w:p>
        </w:tc>
      </w:tr>
    </w:tbl>
    <w:p>
      <w:pPr>
        <w:pStyle w:val="TextBody"/>
        <w:bidi w:val="0"/>
        <w:spacing w:lineRule="auto" w:line="321" w:before="0" w:after="160"/>
        <w:jc w:val="right"/>
        <w:rPr>
          <w:rFonts w:ascii="Times New Roman;serif" w:hAnsi="Times New Roman;serif"/>
          <w:b/>
          <w:color w:val="000000"/>
          <w:sz w:val="24"/>
        </w:rPr>
      </w:pPr>
      <w:r>
        <w:rPr>
          <w:rFonts w:ascii="Times New Roman;serif" w:hAnsi="Times New Roman;serif"/>
          <w:b/>
          <w:color w:val="000000"/>
          <w:sz w:val="24"/>
        </w:rPr>
        <w:t>Exhibit 21.1</w:t>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6480175" cy="388620"/>
                <wp:effectExtent l="0" t="0" r="0" b="0"/>
                <wp:wrapNone/>
                <wp:docPr id="273" name="Frame269"/>
                <a:graphic xmlns:a="http://schemas.openxmlformats.org/drawingml/2006/main">
                  <a:graphicData uri="http://schemas.microsoft.com/office/word/2010/wordprocessingShape">
                    <wps:wsp>
                      <wps:cNvSpPr txBox="1"/>
                      <wps:spPr>
                        <a:xfrm>
                          <a:off x="0" y="0"/>
                          <a:ext cx="6480175" cy="388620"/>
                        </a:xfrm>
                        <a:prstGeom prst="rect"/>
                        <a:solidFill>
                          <a:srgbClr val="FFFFFF"/>
                        </a:solidFill>
                      </wps:spPr>
                      <wps:txbx>
                        <w:txbxContent>
                          <w:p>
                            <w:pPr>
                              <w:pStyle w:val="TextBody"/>
                              <w:bidi w:val="0"/>
                              <w:spacing w:lineRule="auto" w:line="288" w:before="0" w:after="0"/>
                              <w:jc w:val="center"/>
                              <w:rPr>
                                <w:rFonts w:ascii="Aptos;sans-serif" w:hAnsi="Aptos;sans-serif"/>
                                <w:b w:val="false"/>
                                <w:color w:val="000000"/>
                                <w:sz w:val="24"/>
                              </w:rPr>
                            </w:pPr>
                            <w:r>
                              <w:rPr>
                                <w:rFonts w:ascii="Aptos;sans-serif" w:hAnsi="Aptos;sans-serif"/>
                                <w:b w:val="false"/>
                                <w:color w:val="000000"/>
                                <w:sz w:val="24"/>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6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Aptos;sans-serif" w:hAnsi="Aptos;sans-serif"/>
                          <w:b w:val="false"/>
                          <w:color w:val="000000"/>
                          <w:sz w:val="24"/>
                        </w:rPr>
                      </w:pPr>
                      <w:r>
                        <w:rPr>
                          <w:rFonts w:ascii="Aptos;sans-serif" w:hAnsi="Aptos;sans-serif"/>
                          <w:b w:val="false"/>
                          <w:color w:val="000000"/>
                          <w:sz w:val="24"/>
                        </w:rPr>
                        <w:t>2</w:t>
                      </w:r>
                    </w:p>
                    <w:p>
                      <w:pPr>
                        <w:pStyle w:val="TextBody"/>
                        <w:bidi w:val="0"/>
                        <w:spacing w:before="0" w:after="0"/>
                        <w:jc w:val="left"/>
                        <w:rPr/>
                      </w:pPr>
                      <w:r>
                        <w:rPr/>
                      </w:r>
                    </w:p>
                  </w:txbxContent>
                </v:textbox>
                <w10:wrap type="none"/>
              </v:rect>
            </w:pict>
          </mc:Fallback>
        </mc:AlternateContent>
      </w:r>
    </w:p>
    <w:tbl>
      <w:tblPr>
        <w:tblW w:w="4035" w:type="dxa"/>
        <w:jc w:val="center"/>
        <w:tblInd w:w="0" w:type="dxa"/>
        <w:tblLayout w:type="fixed"/>
        <w:tblCellMar>
          <w:top w:w="28" w:type="dxa"/>
          <w:left w:w="28" w:type="dxa"/>
          <w:bottom w:w="28" w:type="dxa"/>
          <w:right w:w="28" w:type="dxa"/>
        </w:tblCellMar>
      </w:tblPr>
      <w:tblGrid>
        <w:gridCol w:w="1072"/>
        <w:gridCol w:w="946"/>
        <w:gridCol w:w="951"/>
        <w:gridCol w:w="312"/>
        <w:gridCol w:w="312"/>
        <w:gridCol w:w="442"/>
      </w:tblGrid>
      <w:tr>
        <w:trPr/>
        <w:tc>
          <w:tcPr>
            <w:tcW w:w="1072"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Demo Prime 2 Trust</w:t>
            </w:r>
          </w:p>
        </w:tc>
        <w:tc>
          <w:tcPr>
            <w:tcW w:w="106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296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Demo Prime 3 Trust</w:t>
            </w:r>
          </w:p>
        </w:tc>
        <w:tc>
          <w:tcPr>
            <w:tcW w:w="106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296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Demo Prime DSCR Trust</w:t>
            </w:r>
          </w:p>
        </w:tc>
        <w:tc>
          <w:tcPr>
            <w:tcW w:w="106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296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Demo Prime CBL Trust</w:t>
            </w:r>
          </w:p>
        </w:tc>
        <w:tc>
          <w:tcPr>
            <w:tcW w:w="106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2969"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Demo Prime Auto Loan Trust</w:t>
            </w:r>
          </w:p>
        </w:tc>
        <w:tc>
          <w:tcPr>
            <w:tcW w:w="1066"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321" w:before="0" w:after="160"/>
              <w:jc w:val="left"/>
              <w:rPr>
                <w:rFonts w:ascii="Times New Roman;serif" w:hAnsi="Times New Roman;serif"/>
                <w:b w:val="false"/>
                <w:color w:val="000000"/>
                <w:sz w:val="24"/>
              </w:rPr>
            </w:pPr>
            <w:r>
              <w:rPr>
                <w:rFonts w:ascii="Times New Roman;serif" w:hAnsi="Times New Roman;serif"/>
                <w:b w:val="false"/>
                <w:color w:val="000000"/>
                <w:sz w:val="24"/>
              </w:rPr>
              <w:t>Delaware</w:t>
            </w:r>
          </w:p>
        </w:tc>
      </w:tr>
    </w:tbl>
    <w:p>
      <w:pPr>
        <w:pStyle w:val="TextBody"/>
        <w:bidi w:val="0"/>
        <w:spacing w:before="0" w:after="16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600"/>
        <w:ind w:left="0" w:right="0" w:firstLine="720"/>
        <w:jc w:val="left"/>
        <w:rPr/>
      </w:pPr>
      <w:r>
        <w:rPr/>
        <w:drawing>
          <wp:inline distT="0" distB="0" distL="0" distR="0">
            <wp:extent cx="914400" cy="361950"/>
            <wp:effectExtent l="0" t="0" r="0" b="0"/>
            <wp:docPr id="274"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 name="Image5" descr=""/>
                    <pic:cNvPicPr>
                      <a:picLocks noChangeAspect="1" noChangeArrowheads="1"/>
                    </pic:cNvPicPr>
                  </pic:nvPicPr>
                  <pic:blipFill>
                    <a:blip r:embed="rId46"/>
                    <a:stretch>
                      <a:fillRect/>
                    </a:stretch>
                  </pic:blipFill>
                  <pic:spPr bwMode="auto">
                    <a:xfrm>
                      <a:off x="0" y="0"/>
                      <a:ext cx="914400" cy="361950"/>
                    </a:xfrm>
                    <a:prstGeom prst="rect">
                      <a:avLst/>
                    </a:prstGeom>
                  </pic:spPr>
                </pic:pic>
              </a:graphicData>
            </a:graphic>
          </wp:inline>
        </w:drawing>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6480175" cy="388620"/>
                <wp:effectExtent l="0" t="0" r="0" b="0"/>
                <wp:wrapNone/>
                <wp:docPr id="275" name="Frame270"/>
                <a:graphic xmlns:a="http://schemas.openxmlformats.org/drawingml/2006/main">
                  <a:graphicData uri="http://schemas.microsoft.com/office/word/2010/wordprocessingShape">
                    <wps:wsp>
                      <wps:cNvSpPr txBox="1"/>
                      <wps:spPr>
                        <a:xfrm>
                          <a:off x="0" y="0"/>
                          <a:ext cx="6480175" cy="388620"/>
                        </a:xfrm>
                        <a:prstGeom prst="rect"/>
                        <a:solidFill>
                          <a:srgbClr val="FFFFFF"/>
                        </a:solidFill>
                      </wps:spPr>
                      <wps:txbx>
                        <w:txbxContent>
                          <w:p>
                            <w:pPr>
                              <w:pStyle w:val="TextBody"/>
                              <w:bidi w:val="0"/>
                              <w:spacing w:lineRule="auto" w:line="288" w:before="0" w:after="0"/>
                              <w:jc w:val="center"/>
                              <w:rPr>
                                <w:rFonts w:ascii="Aptos;sans-serif" w:hAnsi="Aptos;sans-serif"/>
                                <w:b w:val="false"/>
                                <w:color w:val="000000"/>
                                <w:sz w:val="24"/>
                              </w:rPr>
                            </w:pPr>
                            <w:r>
                              <w:rPr>
                                <w:rFonts w:ascii="Aptos;sans-serif" w:hAnsi="Aptos;sans-serif"/>
                                <w:b w:val="false"/>
                                <w:color w:val="000000"/>
                                <w:sz w:val="24"/>
                              </w:rPr>
                              <w:t>3</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6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Aptos;sans-serif" w:hAnsi="Aptos;sans-serif"/>
                          <w:b w:val="false"/>
                          <w:color w:val="000000"/>
                          <w:sz w:val="24"/>
                        </w:rPr>
                      </w:pPr>
                      <w:r>
                        <w:rPr>
                          <w:rFonts w:ascii="Aptos;sans-serif" w:hAnsi="Aptos;sans-serif"/>
                          <w:b w:val="false"/>
                          <w:color w:val="000000"/>
                          <w:sz w:val="24"/>
                        </w:rPr>
                        <w:t>3</w:t>
                      </w:r>
                    </w:p>
                    <w:p>
                      <w:pPr>
                        <w:pStyle w:val="TextBody"/>
                        <w:bidi w:val="0"/>
                        <w:spacing w:before="0" w:after="0"/>
                        <w:jc w:val="left"/>
                        <w:rPr/>
                      </w:pPr>
                      <w:r>
                        <w:rPr/>
                      </w:r>
                    </w:p>
                  </w:txbxContent>
                </v:textbox>
                <w10:wrap type="none"/>
              </v:rect>
            </w:pict>
          </mc:Fallback>
        </mc:AlternateContent>
      </w:r>
    </w:p>
    <w:tbl>
      <w:tblPr>
        <w:tblW w:w="2010" w:type="dxa"/>
        <w:jc w:val="center"/>
        <w:tblInd w:w="0" w:type="dxa"/>
        <w:tblLayout w:type="fixed"/>
        <w:tblCellMar>
          <w:top w:w="28" w:type="dxa"/>
          <w:left w:w="28" w:type="dxa"/>
          <w:bottom w:w="28" w:type="dxa"/>
          <w:right w:w="28" w:type="dxa"/>
        </w:tblCellMar>
      </w:tblPr>
      <w:tblGrid>
        <w:gridCol w:w="644"/>
        <w:gridCol w:w="563"/>
        <w:gridCol w:w="803"/>
      </w:tblGrid>
      <w:tr>
        <w:trPr/>
        <w:tc>
          <w:tcPr>
            <w:tcW w:w="644"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929292"/>
                <w:sz w:val="18"/>
              </w:rPr>
            </w:pPr>
            <w:r>
              <w:rPr>
                <w:rFonts w:ascii="Times New Roman;serif" w:hAnsi="Times New Roman;serif"/>
                <w:b w:val="false"/>
                <w:color w:val="929292"/>
                <w:sz w:val="18"/>
              </w:rPr>
              <w:t>KPMG LLP</w:t>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929292"/>
                <w:sz w:val="18"/>
              </w:rPr>
            </w:pPr>
            <w:r>
              <w:rPr>
                <w:rFonts w:ascii="Times New Roman;serif" w:hAnsi="Times New Roman;serif"/>
                <w:b w:val="false"/>
                <w:color w:val="929292"/>
                <w:sz w:val="18"/>
              </w:rPr>
              <w:t>Suite 1400</w:t>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929292"/>
                <w:sz w:val="18"/>
              </w:rPr>
            </w:pPr>
            <w:r>
              <w:rPr>
                <w:rFonts w:ascii="Times New Roman;serif" w:hAnsi="Times New Roman;serif"/>
                <w:b w:val="false"/>
                <w:color w:val="929292"/>
                <w:sz w:val="18"/>
              </w:rPr>
              <w:t>55 Second Street</w:t>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929292"/>
                <w:sz w:val="18"/>
              </w:rPr>
            </w:pPr>
            <w:r>
              <w:rPr>
                <w:rFonts w:ascii="Times New Roman;serif" w:hAnsi="Times New Roman;serif"/>
                <w:b w:val="false"/>
                <w:color w:val="929292"/>
                <w:sz w:val="18"/>
              </w:rPr>
              <w:t>San Francisco, CA 94105</w:t>
            </w:r>
          </w:p>
        </w:tc>
      </w:tr>
    </w:tbl>
    <w:p>
      <w:pPr>
        <w:pStyle w:val="TextBody"/>
        <w:bidi w:val="0"/>
        <w:spacing w:before="0" w:after="600"/>
        <w:ind w:left="0" w:right="0" w:firstLine="72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Consent of Independent Registered Public Accounting Firm</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We consent to the incorporation by reference in the registration statements (Nos. 333-291301 and 333-290240) on Form S-8 of our report dated March 13, 2026, with respect to the consolidated financial statements of Figure Technology Solutions, Inc..</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/s/ KPMG LLP</w:t>
      </w:r>
    </w:p>
    <w:p>
      <w:pPr>
        <w:pStyle w:val="TextBody"/>
        <w:bidi w:val="0"/>
        <w:spacing w:before="0" w:after="12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San Francisco, California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March 13, 2026</w:t>
      </w:r>
    </w:p>
    <w:p>
      <w:pPr>
        <w:pStyle w:val="TextBody"/>
        <w:bidi w:val="0"/>
        <w:spacing w:before="0" w:after="20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6480175" cy="175260"/>
                <wp:effectExtent l="0" t="0" r="0" b="0"/>
                <wp:wrapNone/>
                <wp:docPr id="276" name="Frame2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CERTIFICATIONS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 Michael Tannenbaum, certify that:</w:t>
      </w:r>
    </w:p>
    <w:p>
      <w:pPr>
        <w:pStyle w:val="TextBody"/>
        <w:bidi w:val="0"/>
        <w:spacing w:lineRule="auto" w:line="288" w:before="0" w:after="180"/>
        <w:ind w:left="0" w:right="0" w:firstLine="720"/>
        <w:jc w:val="left"/>
        <w:rPr/>
      </w:pPr>
      <w:r>
        <w:rPr>
          <w:rFonts w:ascii="Times New Roman;serif" w:hAnsi="Times New Roman;serif"/>
          <w:b w:val="false"/>
          <w:color w:val="000000"/>
          <w:sz w:val="20"/>
        </w:rPr>
        <w:t>1.</w:t>
      </w:r>
      <w:r>
        <w:rPr>
          <w:rFonts w:ascii="Times New Roman;serif" w:hAnsi="Times New Roman;serif"/>
          <w:b w:val="false"/>
          <w:color w:val="000000"/>
          <w:sz w:val="20"/>
        </w:rPr>
        <w:t>I have reviewed this Annual Report on Form 10-K of Figure Technology Solutions, Inc.;</w:t>
      </w:r>
    </w:p>
    <w:p>
      <w:pPr>
        <w:pStyle w:val="TextBody"/>
        <w:bidi w:val="0"/>
        <w:spacing w:lineRule="auto" w:line="288" w:before="0" w:after="180"/>
        <w:ind w:left="0" w:right="0" w:firstLine="720"/>
        <w:jc w:val="left"/>
        <w:rPr/>
      </w:pPr>
      <w:r>
        <w:rPr>
          <w:rFonts w:ascii="Times New Roman;serif" w:hAnsi="Times New Roman;serif"/>
          <w:b w:val="false"/>
          <w:color w:val="000000"/>
          <w:sz w:val="20"/>
        </w:rPr>
        <w:t>2.</w:t>
      </w:r>
      <w:r>
        <w:rPr>
          <w:rFonts w:ascii="Times New Roman;serif" w:hAnsi="Times New Roman;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80"/>
        <w:ind w:left="0" w:right="0" w:firstLine="720"/>
        <w:jc w:val="left"/>
        <w:rPr/>
      </w:pPr>
      <w:r>
        <w:rPr>
          <w:rFonts w:ascii="Times New Roman;serif" w:hAnsi="Times New Roman;serif"/>
          <w:b w:val="false"/>
          <w:color w:val="000000"/>
          <w:sz w:val="20"/>
        </w:rPr>
        <w:t>3.</w:t>
      </w:r>
      <w:r>
        <w:rPr>
          <w:rFonts w:ascii="Times New Roman;serif" w:hAnsi="Times New Roman;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80"/>
        <w:ind w:left="0" w:right="0" w:firstLine="720"/>
        <w:jc w:val="left"/>
        <w:rPr/>
      </w:pPr>
      <w:r>
        <w:rPr>
          <w:rFonts w:ascii="Times New Roman;serif" w:hAnsi="Times New Roman;serif"/>
          <w:b w:val="false"/>
          <w:color w:val="000000"/>
          <w:sz w:val="20"/>
        </w:rPr>
        <w:t>4.</w:t>
      </w:r>
      <w:r>
        <w:rPr>
          <w:rFonts w:ascii="Times New Roman;serif" w:hAnsi="Times New Roman;serif"/>
          <w:b w:val="false"/>
          <w:color w:val="000000"/>
          <w:sz w:val="20"/>
        </w:rPr>
        <w:t>The registrant’s other certifying officer and I are responsible for establishing and maintaining disclosure controls and procedures (as defined in Exchange Act Rules 13a-15(e) and 15d-15(e)) for the registrant and have:</w:t>
      </w:r>
    </w:p>
    <w:p>
      <w:pPr>
        <w:pStyle w:val="TextBody"/>
        <w:bidi w:val="0"/>
        <w:spacing w:lineRule="auto" w:line="288" w:before="0" w:after="180"/>
        <w:ind w:left="0" w:right="0" w:firstLine="720"/>
        <w:jc w:val="left"/>
        <w:rPr/>
      </w:pPr>
      <w:r>
        <w:rPr>
          <w:rFonts w:ascii="Times New Roman;serif" w:hAnsi="Times New Roman;serif"/>
          <w:b w:val="false"/>
          <w:color w:val="000000"/>
          <w:sz w:val="20"/>
        </w:rPr>
        <w:t>(a)</w:t>
      </w:r>
      <w:r>
        <w:rPr>
          <w:rFonts w:ascii="Times New Roman;serif" w:hAnsi="Times New Roman;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80"/>
        <w:ind w:left="0" w:right="0" w:firstLine="720"/>
        <w:jc w:val="left"/>
        <w:rPr/>
      </w:pPr>
      <w:r>
        <w:rPr>
          <w:rFonts w:ascii="Times New Roman;serif" w:hAnsi="Times New Roman;serif"/>
          <w:b w:val="false"/>
          <w:color w:val="000000"/>
          <w:sz w:val="20"/>
        </w:rPr>
        <w:t>(b)</w:t>
      </w:r>
      <w:r>
        <w:rPr>
          <w:rFonts w:ascii="Times New Roman;serif" w:hAnsi="Times New Roman;serif"/>
          <w:b w:val="false"/>
          <w:color w:val="000000"/>
          <w:sz w:val="20"/>
        </w:rPr>
        <w:t>[Omitted];</w:t>
      </w:r>
    </w:p>
    <w:p>
      <w:pPr>
        <w:pStyle w:val="TextBody"/>
        <w:bidi w:val="0"/>
        <w:spacing w:lineRule="auto" w:line="288" w:before="0" w:after="180"/>
        <w:ind w:left="0" w:right="0" w:firstLine="720"/>
        <w:jc w:val="left"/>
        <w:rPr/>
      </w:pPr>
      <w:r>
        <w:rPr>
          <w:rFonts w:ascii="Times New Roman;serif" w:hAnsi="Times New Roman;serif"/>
          <w:b w:val="false"/>
          <w:color w:val="000000"/>
          <w:sz w:val="20"/>
        </w:rPr>
        <w:t>(c)</w:t>
      </w:r>
      <w:r>
        <w:rPr>
          <w:rFonts w:ascii="Times New Roman;serif" w:hAnsi="Times New Roman;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80"/>
        <w:ind w:left="0" w:right="0" w:firstLine="720"/>
        <w:jc w:val="left"/>
        <w:rPr/>
      </w:pPr>
      <w:r>
        <w:rPr>
          <w:rFonts w:ascii="Times New Roman;serif" w:hAnsi="Times New Roman;serif"/>
          <w:b w:val="false"/>
          <w:color w:val="000000"/>
          <w:sz w:val="20"/>
        </w:rPr>
        <w:t>(d)</w:t>
      </w:r>
      <w:r>
        <w:rPr>
          <w:rFonts w:ascii="Times New Roman;serif" w:hAnsi="Times New Roman;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80"/>
        <w:ind w:left="0" w:right="0" w:firstLine="720"/>
        <w:jc w:val="left"/>
        <w:rPr/>
      </w:pPr>
      <w:r>
        <w:rPr>
          <w:rFonts w:ascii="Times New Roman;serif" w:hAnsi="Times New Roman;serif"/>
          <w:b w:val="false"/>
          <w:color w:val="000000"/>
          <w:sz w:val="20"/>
        </w:rPr>
        <w:t>5.</w:t>
      </w:r>
      <w:r>
        <w:rPr>
          <w:rFonts w:ascii="Times New Roman;serif" w:hAnsi="Times New Roman;serif"/>
          <w:b w:val="false"/>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80"/>
        <w:ind w:left="0" w:right="0" w:firstLine="720"/>
        <w:jc w:val="left"/>
        <w:rPr/>
      </w:pPr>
      <w:r>
        <w:rPr>
          <w:rFonts w:ascii="Times New Roman;serif" w:hAnsi="Times New Roman;serif"/>
          <w:b w:val="false"/>
          <w:color w:val="000000"/>
          <w:sz w:val="20"/>
        </w:rPr>
        <w:t>(a)</w:t>
      </w:r>
      <w:r>
        <w:rPr>
          <w:rFonts w:ascii="Times New Roman;serif" w:hAnsi="Times New Roman;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80"/>
        <w:ind w:left="0" w:right="0" w:firstLine="720"/>
        <w:jc w:val="left"/>
        <w:rPr/>
      </w:pPr>
      <w:r>
        <w:rPr>
          <w:rFonts w:ascii="Times New Roman;serif" w:hAnsi="Times New Roman;serif"/>
          <w:b w:val="false"/>
          <w:color w:val="000000"/>
          <w:sz w:val="20"/>
        </w:rPr>
        <w:t>(b)</w:t>
      </w:r>
      <w:r>
        <w:rPr>
          <w:rFonts w:ascii="Times New Roman;serif" w:hAnsi="Times New Roman;serif"/>
          <w:b w:val="false"/>
          <w:color w:val="000000"/>
          <w:sz w:val="20"/>
        </w:rPr>
        <w:t>Any fraud, whether or not material, that involves management or other employees who have a significant role in the registrant’s internal control over financial reporting.</w:t>
      </w:r>
    </w:p>
    <w:tbl>
      <w:tblPr>
        <w:tblW w:w="5458" w:type="dxa"/>
        <w:jc w:val="left"/>
        <w:tblInd w:w="0" w:type="dxa"/>
        <w:tblLayout w:type="fixed"/>
        <w:tblCellMar>
          <w:top w:w="28" w:type="dxa"/>
          <w:left w:w="28" w:type="dxa"/>
          <w:bottom w:w="28" w:type="dxa"/>
          <w:right w:w="28" w:type="dxa"/>
        </w:tblCellMar>
      </w:tblPr>
      <w:tblGrid>
        <w:gridCol w:w="683"/>
        <w:gridCol w:w="601"/>
        <w:gridCol w:w="605"/>
        <w:gridCol w:w="134"/>
        <w:gridCol w:w="134"/>
        <w:gridCol w:w="136"/>
        <w:gridCol w:w="927"/>
        <w:gridCol w:w="927"/>
        <w:gridCol w:w="1311"/>
      </w:tblGrid>
      <w:tr>
        <w:trPr/>
        <w:tc>
          <w:tcPr>
            <w:tcW w:w="683"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March 13,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Michael Tannenbaum</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Michael Tannenbaum</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Chief Executive Officer and Director </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6480175" cy="175260"/>
                <wp:effectExtent l="0" t="0" r="0" b="0"/>
                <wp:wrapNone/>
                <wp:docPr id="277" name="Frame2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CERTIFICATIONS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 Macrina Kgil, certify that:</w:t>
      </w:r>
    </w:p>
    <w:p>
      <w:pPr>
        <w:pStyle w:val="TextBody"/>
        <w:bidi w:val="0"/>
        <w:spacing w:lineRule="auto" w:line="288" w:before="0" w:after="180"/>
        <w:ind w:left="0" w:right="0" w:firstLine="720"/>
        <w:jc w:val="left"/>
        <w:rPr/>
      </w:pPr>
      <w:r>
        <w:rPr>
          <w:rFonts w:ascii="Times New Roman;serif" w:hAnsi="Times New Roman;serif"/>
          <w:b w:val="false"/>
          <w:color w:val="000000"/>
          <w:sz w:val="20"/>
        </w:rPr>
        <w:t>1.</w:t>
      </w:r>
      <w:r>
        <w:rPr>
          <w:rFonts w:ascii="Times New Roman;serif" w:hAnsi="Times New Roman;serif"/>
          <w:b w:val="false"/>
          <w:color w:val="000000"/>
          <w:sz w:val="20"/>
        </w:rPr>
        <w:t>I have reviewed this Annual Report on Form 10-K of Figure Technology Solutions, Inc.;</w:t>
      </w:r>
    </w:p>
    <w:p>
      <w:pPr>
        <w:pStyle w:val="TextBody"/>
        <w:bidi w:val="0"/>
        <w:spacing w:lineRule="auto" w:line="288" w:before="0" w:after="180"/>
        <w:ind w:left="0" w:right="0" w:firstLine="720"/>
        <w:jc w:val="left"/>
        <w:rPr/>
      </w:pPr>
      <w:r>
        <w:rPr>
          <w:rFonts w:ascii="Times New Roman;serif" w:hAnsi="Times New Roman;serif"/>
          <w:b w:val="false"/>
          <w:color w:val="000000"/>
          <w:sz w:val="20"/>
        </w:rPr>
        <w:t>2.</w:t>
      </w:r>
      <w:r>
        <w:rPr>
          <w:rFonts w:ascii="Times New Roman;serif" w:hAnsi="Times New Roman;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80"/>
        <w:ind w:left="0" w:right="0" w:firstLine="720"/>
        <w:jc w:val="left"/>
        <w:rPr/>
      </w:pPr>
      <w:r>
        <w:rPr>
          <w:rFonts w:ascii="Times New Roman;serif" w:hAnsi="Times New Roman;serif"/>
          <w:b w:val="false"/>
          <w:color w:val="000000"/>
          <w:sz w:val="20"/>
        </w:rPr>
        <w:t>3.</w:t>
      </w:r>
      <w:r>
        <w:rPr>
          <w:rFonts w:ascii="Times New Roman;serif" w:hAnsi="Times New Roman;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80"/>
        <w:ind w:left="0" w:right="0" w:firstLine="720"/>
        <w:jc w:val="left"/>
        <w:rPr/>
      </w:pPr>
      <w:r>
        <w:rPr>
          <w:rFonts w:ascii="Times New Roman;serif" w:hAnsi="Times New Roman;serif"/>
          <w:b w:val="false"/>
          <w:color w:val="000000"/>
          <w:sz w:val="20"/>
        </w:rPr>
        <w:t>4.</w:t>
      </w:r>
      <w:r>
        <w:rPr>
          <w:rFonts w:ascii="Times New Roman;serif" w:hAnsi="Times New Roman;serif"/>
          <w:b w:val="false"/>
          <w:color w:val="000000"/>
          <w:sz w:val="20"/>
        </w:rPr>
        <w:t>The registrant’s other certifying officer and I are responsible for establishing and maintaining disclosure controls and procedures (as defined in Exchange Act Rules 13a-15(e) and 15d-15(e)) for the registrant and have:</w:t>
      </w:r>
    </w:p>
    <w:p>
      <w:pPr>
        <w:pStyle w:val="TextBody"/>
        <w:bidi w:val="0"/>
        <w:spacing w:lineRule="auto" w:line="288" w:before="0" w:after="180"/>
        <w:ind w:left="0" w:right="0" w:firstLine="720"/>
        <w:jc w:val="left"/>
        <w:rPr/>
      </w:pPr>
      <w:r>
        <w:rPr>
          <w:rFonts w:ascii="Times New Roman;serif" w:hAnsi="Times New Roman;serif"/>
          <w:b w:val="false"/>
          <w:color w:val="000000"/>
          <w:sz w:val="20"/>
        </w:rPr>
        <w:t>(a)</w:t>
      </w:r>
      <w:r>
        <w:rPr>
          <w:rFonts w:ascii="Times New Roman;serif" w:hAnsi="Times New Roman;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80"/>
        <w:ind w:left="0" w:right="0" w:firstLine="720"/>
        <w:jc w:val="left"/>
        <w:rPr/>
      </w:pPr>
      <w:r>
        <w:rPr>
          <w:rFonts w:ascii="Times New Roman;serif" w:hAnsi="Times New Roman;serif"/>
          <w:b w:val="false"/>
          <w:color w:val="000000"/>
          <w:sz w:val="20"/>
        </w:rPr>
        <w:t>(b)</w:t>
      </w:r>
      <w:r>
        <w:rPr>
          <w:rFonts w:ascii="Times New Roman;serif" w:hAnsi="Times New Roman;serif"/>
          <w:b w:val="false"/>
          <w:color w:val="000000"/>
          <w:sz w:val="20"/>
        </w:rPr>
        <w:t>[Omitted];</w:t>
      </w:r>
    </w:p>
    <w:p>
      <w:pPr>
        <w:pStyle w:val="TextBody"/>
        <w:bidi w:val="0"/>
        <w:spacing w:lineRule="auto" w:line="288" w:before="0" w:after="180"/>
        <w:ind w:left="0" w:right="0" w:firstLine="720"/>
        <w:jc w:val="left"/>
        <w:rPr/>
      </w:pPr>
      <w:r>
        <w:rPr>
          <w:rFonts w:ascii="Times New Roman;serif" w:hAnsi="Times New Roman;serif"/>
          <w:b w:val="false"/>
          <w:color w:val="000000"/>
          <w:sz w:val="20"/>
        </w:rPr>
        <w:t>(c)</w:t>
      </w:r>
      <w:r>
        <w:rPr>
          <w:rFonts w:ascii="Times New Roman;serif" w:hAnsi="Times New Roman;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80"/>
        <w:ind w:left="0" w:right="0" w:firstLine="720"/>
        <w:jc w:val="left"/>
        <w:rPr/>
      </w:pPr>
      <w:r>
        <w:rPr>
          <w:rFonts w:ascii="Times New Roman;serif" w:hAnsi="Times New Roman;serif"/>
          <w:b w:val="false"/>
          <w:color w:val="000000"/>
          <w:sz w:val="20"/>
        </w:rPr>
        <w:t>(d)</w:t>
      </w:r>
      <w:r>
        <w:rPr>
          <w:rFonts w:ascii="Times New Roman;serif" w:hAnsi="Times New Roman;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80"/>
        <w:ind w:left="0" w:right="0" w:firstLine="720"/>
        <w:jc w:val="left"/>
        <w:rPr/>
      </w:pPr>
      <w:r>
        <w:rPr>
          <w:rFonts w:ascii="Times New Roman;serif" w:hAnsi="Times New Roman;serif"/>
          <w:b w:val="false"/>
          <w:color w:val="000000"/>
          <w:sz w:val="20"/>
        </w:rPr>
        <w:t>5.</w:t>
      </w:r>
      <w:r>
        <w:rPr>
          <w:rFonts w:ascii="Times New Roman;serif" w:hAnsi="Times New Roman;serif"/>
          <w:b w:val="false"/>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80"/>
        <w:ind w:left="0" w:right="0" w:firstLine="720"/>
        <w:jc w:val="left"/>
        <w:rPr/>
      </w:pPr>
      <w:r>
        <w:rPr>
          <w:rFonts w:ascii="Times New Roman;serif" w:hAnsi="Times New Roman;serif"/>
          <w:b w:val="false"/>
          <w:color w:val="000000"/>
          <w:sz w:val="20"/>
        </w:rPr>
        <w:t>(a)</w:t>
      </w:r>
      <w:r>
        <w:rPr>
          <w:rFonts w:ascii="Times New Roman;serif" w:hAnsi="Times New Roman;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80"/>
        <w:ind w:left="0" w:right="0" w:firstLine="720"/>
        <w:jc w:val="left"/>
        <w:rPr/>
      </w:pPr>
      <w:r>
        <w:rPr>
          <w:rFonts w:ascii="Times New Roman;serif" w:hAnsi="Times New Roman;serif"/>
          <w:b w:val="false"/>
          <w:color w:val="000000"/>
          <w:sz w:val="20"/>
        </w:rPr>
        <w:t>(b)</w:t>
      </w:r>
      <w:r>
        <w:rPr>
          <w:rFonts w:ascii="Times New Roman;serif" w:hAnsi="Times New Roman;serif"/>
          <w:b w:val="false"/>
          <w:color w:val="000000"/>
          <w:sz w:val="20"/>
        </w:rPr>
        <w:t>Any fraud, whether or not material, that involves management or other employees who have a significant role in the registrant’s internal control over financial reporting.</w:t>
      </w:r>
    </w:p>
    <w:tbl>
      <w:tblPr>
        <w:tblW w:w="4813" w:type="dxa"/>
        <w:jc w:val="left"/>
        <w:tblInd w:w="0" w:type="dxa"/>
        <w:tblLayout w:type="fixed"/>
        <w:tblCellMar>
          <w:top w:w="28" w:type="dxa"/>
          <w:left w:w="28" w:type="dxa"/>
          <w:bottom w:w="28" w:type="dxa"/>
          <w:right w:w="28" w:type="dxa"/>
        </w:tblCellMar>
      </w:tblPr>
      <w:tblGrid>
        <w:gridCol w:w="683"/>
        <w:gridCol w:w="601"/>
        <w:gridCol w:w="605"/>
        <w:gridCol w:w="134"/>
        <w:gridCol w:w="134"/>
        <w:gridCol w:w="136"/>
        <w:gridCol w:w="734"/>
        <w:gridCol w:w="734"/>
        <w:gridCol w:w="1052"/>
      </w:tblGrid>
      <w:tr>
        <w:trPr/>
        <w:tc>
          <w:tcPr>
            <w:tcW w:w="683"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March 13,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52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w:t>
            </w:r>
            <w:r>
              <w:rPr>
                <w:rFonts w:ascii="Times New Roman;serif" w:hAnsi="Times New Roman;serif"/>
                <w:b w:val="false"/>
                <w:color w:val="000000"/>
                <w:sz w:val="20"/>
                <w:u w:val="single"/>
              </w:rPr>
              <w:t>s/ Macrina Kgil</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Macrina Kgil</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6480175" cy="175260"/>
                <wp:effectExtent l="0" t="0" r="0" b="0"/>
                <wp:wrapNone/>
                <wp:docPr id="278" name="Frame2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PURSUANT TO</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18 U.S.C. SECTION 1350, AS ADOPTED PURSUANT TO</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connection with the Annual Report on Form 10-K of Figure Technology Solutions, Inc. (the “Company”) for the period ended December 31, 2025 as filed with the Securities and Exchange Commission on the date hereof (the “Report”), I certify, pursuant to 18 U.S.C. § 1350, as adopted pursuant to § 906 of the Sarbanes-Oxley Act of 2002, that:</w:t>
      </w:r>
    </w:p>
    <w:p>
      <w:pPr>
        <w:pStyle w:val="TextBody"/>
        <w:bidi w:val="0"/>
        <w:spacing w:lineRule="auto" w:line="288" w:before="0" w:after="180"/>
        <w:ind w:left="0" w:right="0" w:firstLine="720"/>
        <w:jc w:val="left"/>
        <w:rPr/>
      </w:pPr>
      <w:r>
        <w:rPr>
          <w:rFonts w:ascii="Times New Roman;serif" w:hAnsi="Times New Roman;serif"/>
          <w:b w:val="false"/>
          <w:color w:val="000000"/>
          <w:sz w:val="20"/>
        </w:rPr>
        <w:t>(1)</w:t>
      </w:r>
      <w:r>
        <w:rPr>
          <w:rFonts w:ascii="Times New Roman;serif" w:hAnsi="Times New Roman;serif"/>
          <w:b w:val="false"/>
          <w:color w:val="000000"/>
          <w:sz w:val="20"/>
        </w:rPr>
        <w:t>The Report fully complies with the requirements of section 13(a) or 15(d) of the Securities Exchange Act of 1934, as amended; and</w:t>
      </w:r>
    </w:p>
    <w:p>
      <w:pPr>
        <w:pStyle w:val="TextBody"/>
        <w:bidi w:val="0"/>
        <w:spacing w:lineRule="auto" w:line="288" w:before="0" w:after="180"/>
        <w:ind w:left="0" w:right="0" w:firstLine="720"/>
        <w:jc w:val="left"/>
        <w:rPr/>
      </w:pPr>
      <w:r>
        <w:rPr>
          <w:rFonts w:ascii="Times New Roman;serif" w:hAnsi="Times New Roman;serif"/>
          <w:b w:val="false"/>
          <w:color w:val="000000"/>
          <w:sz w:val="20"/>
        </w:rPr>
        <w:t>(2)</w:t>
      </w:r>
      <w:r>
        <w:rPr>
          <w:rFonts w:ascii="Times New Roman;serif" w:hAnsi="Times New Roman;serif"/>
          <w:b w:val="false"/>
          <w:color w:val="000000"/>
          <w:sz w:val="20"/>
        </w:rPr>
        <w:t>The information contained in the Report fairly presents, in all material respects, the financial condition and results of operations of the Company.</w:t>
      </w:r>
    </w:p>
    <w:tbl>
      <w:tblPr>
        <w:tblW w:w="5413" w:type="dxa"/>
        <w:jc w:val="left"/>
        <w:tblInd w:w="0" w:type="dxa"/>
        <w:tblLayout w:type="fixed"/>
        <w:tblCellMar>
          <w:top w:w="28" w:type="dxa"/>
          <w:left w:w="28" w:type="dxa"/>
          <w:bottom w:w="28" w:type="dxa"/>
          <w:right w:w="28" w:type="dxa"/>
        </w:tblCellMar>
      </w:tblPr>
      <w:tblGrid>
        <w:gridCol w:w="683"/>
        <w:gridCol w:w="601"/>
        <w:gridCol w:w="605"/>
        <w:gridCol w:w="134"/>
        <w:gridCol w:w="134"/>
        <w:gridCol w:w="136"/>
        <w:gridCol w:w="914"/>
        <w:gridCol w:w="914"/>
        <w:gridCol w:w="1292"/>
      </w:tblGrid>
      <w:tr>
        <w:trPr/>
        <w:tc>
          <w:tcPr>
            <w:tcW w:w="683"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March 13,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12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w:t>
            </w:r>
            <w:r>
              <w:rPr>
                <w:rFonts w:ascii="Times New Roman;serif" w:hAnsi="Times New Roman;serif"/>
                <w:b w:val="false"/>
                <w:color w:val="000000"/>
                <w:sz w:val="20"/>
                <w:u w:val="single"/>
              </w:rPr>
              <w:t>s/ Michael Tannenbaum</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Michael Tannenbaum</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and Director</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32.2</w:t>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6480175" cy="175260"/>
                <wp:effectExtent l="0" t="0" r="0" b="0"/>
                <wp:wrapNone/>
                <wp:docPr id="279" name="Frame2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PURSUANT TO</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18 U.S.C. SECTION 1350, AS ADOPTED PURSUANT TO</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connection with the Annual Report on Form 10-K of Figure Technology Solutions, Inc. (the “Company”) for the period ended December 31, 2025 as filed with the Securities and Exchange Commission on the date hereof (the “Report”), I certify, pursuant to 18 U.S.C. § 1350, as adopted pursuant to § 906 of the Sarbanes-Oxley Act of 2002, that:</w:t>
      </w:r>
    </w:p>
    <w:p>
      <w:pPr>
        <w:pStyle w:val="TextBody"/>
        <w:bidi w:val="0"/>
        <w:spacing w:lineRule="auto" w:line="288" w:before="0" w:after="180"/>
        <w:ind w:left="0" w:right="0" w:firstLine="720"/>
        <w:jc w:val="left"/>
        <w:rPr/>
      </w:pPr>
      <w:r>
        <w:rPr>
          <w:rFonts w:ascii="Times New Roman;serif" w:hAnsi="Times New Roman;serif"/>
          <w:b w:val="false"/>
          <w:color w:val="000000"/>
          <w:sz w:val="20"/>
        </w:rPr>
        <w:t>(1)</w:t>
      </w:r>
      <w:r>
        <w:rPr>
          <w:rFonts w:ascii="Times New Roman;serif" w:hAnsi="Times New Roman;serif"/>
          <w:b w:val="false"/>
          <w:color w:val="000000"/>
          <w:sz w:val="20"/>
        </w:rPr>
        <w:t>The Report fully complies with the requirements of section 13(a) or 15(d) of the Securities Exchange Act of 1934, as amended; and</w:t>
      </w:r>
    </w:p>
    <w:p>
      <w:pPr>
        <w:pStyle w:val="TextBody"/>
        <w:bidi w:val="0"/>
        <w:spacing w:lineRule="auto" w:line="288" w:before="0" w:after="180"/>
        <w:ind w:left="0" w:right="0" w:firstLine="720"/>
        <w:jc w:val="left"/>
        <w:rPr/>
      </w:pPr>
      <w:r>
        <w:rPr>
          <w:rFonts w:ascii="Times New Roman;serif" w:hAnsi="Times New Roman;serif"/>
          <w:b w:val="false"/>
          <w:color w:val="000000"/>
          <w:sz w:val="20"/>
        </w:rPr>
        <w:t>(2)</w:t>
      </w:r>
      <w:r>
        <w:rPr>
          <w:rFonts w:ascii="Times New Roman;serif" w:hAnsi="Times New Roman;serif"/>
          <w:b w:val="false"/>
          <w:color w:val="000000"/>
          <w:sz w:val="20"/>
        </w:rPr>
        <w:t>The information contained in the Report fairly presents, in all material respects, the financial condition and results of operations of the Company.</w:t>
      </w:r>
    </w:p>
    <w:tbl>
      <w:tblPr>
        <w:tblW w:w="4813" w:type="dxa"/>
        <w:jc w:val="left"/>
        <w:tblInd w:w="0" w:type="dxa"/>
        <w:tblLayout w:type="fixed"/>
        <w:tblCellMar>
          <w:top w:w="28" w:type="dxa"/>
          <w:left w:w="28" w:type="dxa"/>
          <w:bottom w:w="28" w:type="dxa"/>
          <w:right w:w="28" w:type="dxa"/>
        </w:tblCellMar>
      </w:tblPr>
      <w:tblGrid>
        <w:gridCol w:w="683"/>
        <w:gridCol w:w="601"/>
        <w:gridCol w:w="605"/>
        <w:gridCol w:w="134"/>
        <w:gridCol w:w="134"/>
        <w:gridCol w:w="136"/>
        <w:gridCol w:w="734"/>
        <w:gridCol w:w="734"/>
        <w:gridCol w:w="1052"/>
      </w:tblGrid>
      <w:tr>
        <w:trPr/>
        <w:tc>
          <w:tcPr>
            <w:tcW w:w="683"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March 13,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Macrina Kgil</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Macrina Kgil</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60"/>
        <w:jc w:val="left"/>
        <w:rPr/>
      </w:pPr>
      <w:r>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6480175" cy="175260"/>
                <wp:effectExtent l="0" t="0" r="0" b="0"/>
                <wp:wrapNone/>
                <wp:docPr id="280" name="Frame2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FIGURE TECHNOLOGY SOLUTIONS, INC.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POLICY FOR RECOVERY OF </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ERRONEOUSLY AWARDED COMPENSATION</w:t>
      </w:r>
    </w:p>
    <w:p>
      <w:pPr>
        <w:pStyle w:val="TextBody"/>
        <w:bidi w:val="0"/>
        <w:spacing w:lineRule="auto" w:line="288" w:before="0" w:after="240"/>
        <w:ind w:left="0" w:right="0" w:firstLine="720"/>
        <w:jc w:val="both"/>
        <w:rPr/>
      </w:pPr>
      <w:r>
        <w:rPr>
          <w:rFonts w:ascii="Times New Roman;serif" w:hAnsi="Times New Roman;serif"/>
          <w:b w:val="false"/>
          <w:color w:val="000000"/>
          <w:sz w:val="24"/>
        </w:rPr>
        <w:t>Figure Technology Solutions, Inc. (the “</w:t>
      </w:r>
      <w:r>
        <w:rPr>
          <w:rFonts w:ascii="Times New Roman;serif" w:hAnsi="Times New Roman;serif"/>
          <w:b/>
          <w:i/>
          <w:color w:val="000000"/>
          <w:sz w:val="24"/>
        </w:rPr>
        <w:t>Company</w:t>
      </w:r>
      <w:r>
        <w:rPr>
          <w:color w:val="000000"/>
        </w:rPr>
        <w:t>”</w:t>
      </w:r>
      <w:r>
        <w:rPr>
          <w:rFonts w:ascii="Times New Roman;serif" w:hAnsi="Times New Roman;serif"/>
          <w:b w:val="false"/>
          <w:color w:val="000000"/>
          <w:sz w:val="24"/>
        </w:rPr>
        <w:t>) has adopted this Policy for Recovery of Erroneously Awarded Compensation (the “</w:t>
      </w:r>
      <w:r>
        <w:rPr>
          <w:rFonts w:ascii="Times New Roman;serif" w:hAnsi="Times New Roman;serif"/>
          <w:b/>
          <w:i/>
          <w:color w:val="000000"/>
          <w:sz w:val="24"/>
        </w:rPr>
        <w:t>Policy</w:t>
      </w:r>
      <w:r>
        <w:rPr>
          <w:color w:val="000000"/>
        </w:rPr>
        <w:t>”</w:t>
      </w:r>
      <w:r>
        <w:rPr>
          <w:rFonts w:ascii="Times New Roman;serif" w:hAnsi="Times New Roman;serif"/>
          <w:b w:val="false"/>
          <w:color w:val="000000"/>
          <w:sz w:val="24"/>
        </w:rPr>
        <w:t>), effective as of the date of effectiveness of the registration statement on Form S-1 to be filed with the Securities and Exchange Commission under the Securities Act of 1933, as amended, in connection with the Company’s initial public offering (the “</w:t>
      </w:r>
      <w:r>
        <w:rPr>
          <w:rFonts w:ascii="Times New Roman;serif" w:hAnsi="Times New Roman;serif"/>
          <w:b/>
          <w:i/>
          <w:color w:val="000000"/>
          <w:sz w:val="24"/>
        </w:rPr>
        <w:t>Effective Date</w:t>
      </w:r>
      <w:r>
        <w:rPr>
          <w:color w:val="000000"/>
        </w:rPr>
        <w:t>”</w:t>
      </w:r>
      <w:r>
        <w:rPr>
          <w:rFonts w:ascii="Times New Roman;serif" w:hAnsi="Times New Roman;serif"/>
          <w:b w:val="false"/>
          <w:color w:val="000000"/>
          <w:sz w:val="24"/>
        </w:rPr>
        <w:t xml:space="preserve">). Capitalized terms used in this Policy but not otherwise defined in the text of this policy are defined in Section 11. </w:t>
      </w:r>
    </w:p>
    <w:p>
      <w:pPr>
        <w:pStyle w:val="TextBody"/>
        <w:bidi w:val="0"/>
        <w:spacing w:lineRule="auto" w:line="288" w:before="0" w:after="240"/>
        <w:ind w:left="0" w:right="0" w:hanging="720"/>
        <w:jc w:val="left"/>
        <w:rPr/>
      </w:pPr>
      <w:r>
        <w:rPr>
          <w:rFonts w:ascii="Times New Roman;serif" w:hAnsi="Times New Roman;serif"/>
          <w:b/>
          <w:color w:val="000000"/>
          <w:sz w:val="24"/>
        </w:rPr>
        <w:t>1.</w:t>
      </w:r>
      <w:r>
        <w:rPr>
          <w:rFonts w:ascii="Times New Roman;serif" w:hAnsi="Times New Roman;serif"/>
          <w:b/>
          <w:color w:val="000000"/>
          <w:sz w:val="24"/>
          <w:u w:val="single"/>
        </w:rPr>
        <w:t>Persons Subject to Policy</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This Policy shall apply to current and former Officers of the Company. Each Officer shall be required to sign an acknowledgment pursuant to which such Officer will agree to be bound by the terms of, and comply with, this Policy; however, any Officer’s failure to sign any such acknowledgment shall not negate the application of this Policy to the Officer.</w:t>
      </w:r>
    </w:p>
    <w:p>
      <w:pPr>
        <w:pStyle w:val="TextBody"/>
        <w:bidi w:val="0"/>
        <w:spacing w:lineRule="auto" w:line="288" w:before="0" w:after="240"/>
        <w:jc w:val="left"/>
        <w:rPr/>
      </w:pPr>
      <w:r>
        <w:rPr>
          <w:rFonts w:ascii="Times New Roman;serif" w:hAnsi="Times New Roman;serif"/>
          <w:b/>
          <w:color w:val="000000"/>
          <w:sz w:val="24"/>
        </w:rPr>
        <w:t>2.    </w:t>
      </w:r>
      <w:r>
        <w:rPr>
          <w:rFonts w:ascii="Times New Roman;serif" w:hAnsi="Times New Roman;serif"/>
          <w:b/>
          <w:color w:val="000000"/>
          <w:sz w:val="24"/>
          <w:u w:val="single"/>
        </w:rPr>
        <w:t>Compensation Subject to Policy</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This Policy shall apply to Incentive-Based Compensation received on or after the Effective Date. For purposes of this Policy, the date on which Incentive-Based Compensation is “received” shall be determined under the Applicable Rules, which generally provide that Incentive-Based Compensation is “received” in the Company’s fiscal period during which the relevant Financial Reporting Measure is attained or satisfied, without regard to whether the grant, vesting or payment of the Incentive-Based Compensation occurs after the end of that period.</w:t>
      </w:r>
    </w:p>
    <w:p>
      <w:pPr>
        <w:pStyle w:val="TextBody"/>
        <w:bidi w:val="0"/>
        <w:spacing w:lineRule="auto" w:line="288" w:before="0" w:after="240"/>
        <w:jc w:val="both"/>
        <w:rPr/>
      </w:pPr>
      <w:r>
        <w:rPr>
          <w:rFonts w:ascii="Times New Roman;serif" w:hAnsi="Times New Roman;serif"/>
          <w:b/>
          <w:color w:val="000000"/>
          <w:sz w:val="24"/>
        </w:rPr>
        <w:t>3.    </w:t>
      </w:r>
      <w:r>
        <w:rPr>
          <w:rFonts w:ascii="Times New Roman;serif" w:hAnsi="Times New Roman;serif"/>
          <w:b/>
          <w:color w:val="000000"/>
          <w:sz w:val="24"/>
          <w:u w:val="single"/>
        </w:rPr>
        <w:t>Recovery of Compensation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the event that the Company is required to prepare a Restatement, the Company shall recover, reasonably promptly, the portion of any Incentive-Based Compensation that is Erroneously Awarded Compensation, unless the Committee has determined that recovery would be Impracticable. Recovery shall be required in accordance with the preceding sentence regardless of whether the applicable Officer engaged in misconduct or otherwise caused or contributed to the requirement for the Restatement and regardless of whether or when restated financial statements are filed by the Company. For clarity, the recovery of Erroneously Awarded Compensation under this Policy will not give rise to any person’s right to voluntarily terminate employment for “good reason,” or due to a “constructive termination” (or any similar term of like effect) under any plan, program or policy of or agreement with the Company or any of its affiliates.</w:t>
      </w:r>
    </w:p>
    <w:p>
      <w:pPr>
        <w:pStyle w:val="TextBody"/>
        <w:bidi w:val="0"/>
        <w:spacing w:lineRule="auto" w:line="288" w:before="0" w:after="240"/>
        <w:jc w:val="both"/>
        <w:rPr/>
      </w:pPr>
      <w:r>
        <w:rPr>
          <w:rFonts w:ascii="Times New Roman;serif" w:hAnsi="Times New Roman;serif"/>
          <w:b/>
          <w:color w:val="000000"/>
          <w:sz w:val="24"/>
        </w:rPr>
        <w:t>4.    </w:t>
      </w:r>
      <w:r>
        <w:rPr>
          <w:rFonts w:ascii="Times New Roman;serif" w:hAnsi="Times New Roman;serif"/>
          <w:b/>
          <w:color w:val="000000"/>
          <w:sz w:val="24"/>
          <w:u w:val="single"/>
        </w:rPr>
        <w:t>Manner of Recovery; Limitation on Duplicative Recovery</w:t>
      </w:r>
    </w:p>
    <w:p>
      <w:pPr>
        <w:pStyle w:val="TextBody"/>
        <w:bidi w:val="0"/>
        <w:spacing w:before="0" w:after="160"/>
        <w:jc w:val="left"/>
        <w:rPr/>
      </w:pPr>
      <w:r>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6480175" cy="1031240"/>
                <wp:effectExtent l="0" t="0" r="0" b="0"/>
                <wp:wrapNone/>
                <wp:docPr id="281" name="Frame276"/>
                <a:graphic xmlns:a="http://schemas.openxmlformats.org/drawingml/2006/main">
                  <a:graphicData uri="http://schemas.microsoft.com/office/word/2010/wordprocessingShape">
                    <wps:wsp>
                      <wps:cNvSpPr txBox="1"/>
                      <wps:spPr>
                        <a:xfrm>
                          <a:off x="0" y="0"/>
                          <a:ext cx="6480175" cy="1031240"/>
                        </a:xfrm>
                        <a:prstGeom prst="rect"/>
                        <a:solidFill>
                          <a:srgbClr val="FFFFFF"/>
                        </a:solidFill>
                      </wps:spPr>
                      <wps:txbx>
                        <w:txbxContent>
                          <w:p>
                            <w:pPr>
                              <w:pStyle w:val="TextBody"/>
                              <w:bidi w:val="0"/>
                              <w:spacing w:before="0" w:after="160"/>
                              <w:jc w:val="center"/>
                              <w:rPr/>
                            </w:pPr>
                            <w:r>
                              <w:rPr/>
                            </w:r>
                            <w:r>
                              <w:br w:type="page"/>
                            </w:r>
                          </w:p>
                          <w:p>
                            <w:pPr>
                              <w:pStyle w:val="TextBody"/>
                              <w:bidi w:val="0"/>
                              <w:spacing w:lineRule="auto" w:line="300" w:before="0" w:after="160"/>
                              <w:jc w:val="center"/>
                              <w:rPr>
                                <w:rFonts w:ascii="Times New Roman;serif" w:hAnsi="Times New Roman;serif"/>
                                <w:b w:val="false"/>
                                <w:color w:val="000000"/>
                                <w:sz w:val="22"/>
                              </w:rPr>
                            </w:pPr>
                            <w:r>
                              <w:rPr>
                                <w:rFonts w:ascii="Times New Roman;serif" w:hAnsi="Times New Roman;serif"/>
                                <w:b w:val="false"/>
                                <w:color w:val="000000"/>
                                <w:sz w:val="22"/>
                              </w:rPr>
                              <w:t>1</w:t>
                            </w:r>
                          </w:p>
                          <w:p>
                            <w:pPr>
                              <w:pStyle w:val="TextBody"/>
                              <w:bidi w:val="0"/>
                              <w:spacing w:before="0" w:after="160"/>
                              <w:jc w:val="center"/>
                              <w:rPr/>
                            </w:pPr>
                            <w:r>
                              <w:rPr/>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center"/>
                        <w:rPr/>
                      </w:pPr>
                      <w:r>
                        <w:rPr/>
                      </w:r>
                    </w:p>
                    <w:p>
                      <w:pPr>
                        <w:pStyle w:val="TextBody"/>
                        <w:bidi w:val="0"/>
                        <w:spacing w:lineRule="auto" w:line="300" w:before="0" w:after="160"/>
                        <w:jc w:val="center"/>
                        <w:rPr>
                          <w:rFonts w:ascii="Times New Roman;serif" w:hAnsi="Times New Roman;serif"/>
                          <w:b w:val="false"/>
                          <w:color w:val="000000"/>
                          <w:sz w:val="22"/>
                        </w:rPr>
                      </w:pPr>
                      <w:r>
                        <w:rPr>
                          <w:rFonts w:ascii="Times New Roman;serif" w:hAnsi="Times New Roman;serif"/>
                          <w:b w:val="false"/>
                          <w:color w:val="000000"/>
                          <w:sz w:val="22"/>
                        </w:rPr>
                        <w:t>1</w:t>
                      </w:r>
                    </w:p>
                    <w:p>
                      <w:pPr>
                        <w:pStyle w:val="TextBody"/>
                        <w:bidi w:val="0"/>
                        <w:spacing w:before="0" w:after="160"/>
                        <w:jc w:val="center"/>
                        <w:rPr/>
                      </w:pPr>
                      <w:r>
                        <w:rPr/>
                      </w:r>
                    </w:p>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Committee shall, in its sole discretion, determine the manner of recovery of any Erroneously Awarded Compensation, which may include, without limitation, reduction or cancellation by the Company or an affiliate of the Company of Incentive-Based Compensation or Erroneously Awarded Compensation, reimbursement or repayment by any person subject to this Policy of the Erroneously Awarded Compensation, and, to the extent permitted by law, an offset of the Erroneously Awarded Compensation against other compensation payable by the Company or an affiliate of the Company to such person. Notwithstanding the foregoing, unless otherwise prohibited by the Applicable Rules, to the extent this Policy provides for recovery of Erroneously Awarded Compensation already recovered by the Company pursuant to Section 304 of the Sarbanes-Oxley Act of 2002 or Other Recovery Arrangements, the amount of Erroneously Awarded Compensation already recovered by the Company from the recipient of such Erroneously Awarded Compensation will be credited to the amount of Erroneously Awarded Compensation required to be recovered pursuant to this Policy from such person.</w:t>
      </w:r>
    </w:p>
    <w:p>
      <w:pPr>
        <w:pStyle w:val="TextBody"/>
        <w:bidi w:val="0"/>
        <w:spacing w:lineRule="auto" w:line="288" w:before="0" w:after="240"/>
        <w:jc w:val="both"/>
        <w:rPr/>
      </w:pPr>
      <w:r>
        <w:rPr>
          <w:rFonts w:ascii="Times New Roman;serif" w:hAnsi="Times New Roman;serif"/>
          <w:b/>
          <w:color w:val="000000"/>
          <w:sz w:val="24"/>
        </w:rPr>
        <w:t>5.    </w:t>
      </w:r>
      <w:r>
        <w:rPr>
          <w:rFonts w:ascii="Times New Roman;serif" w:hAnsi="Times New Roman;serif"/>
          <w:b/>
          <w:color w:val="000000"/>
          <w:sz w:val="24"/>
          <w:u w:val="single"/>
        </w:rPr>
        <w:t xml:space="preserve">Administration </w:t>
      </w:r>
    </w:p>
    <w:p>
      <w:pPr>
        <w:pStyle w:val="TextBody"/>
        <w:bidi w:val="0"/>
        <w:spacing w:lineRule="auto" w:line="288" w:before="0" w:after="240"/>
        <w:ind w:left="0" w:right="0" w:firstLine="720"/>
        <w:jc w:val="both"/>
        <w:rPr/>
      </w:pPr>
      <w:r>
        <w:rPr>
          <w:rFonts w:ascii="Times New Roman;serif" w:hAnsi="Times New Roman;serif"/>
          <w:b w:val="false"/>
          <w:color w:val="000000"/>
          <w:sz w:val="24"/>
        </w:rPr>
        <w:t>This Policy shall be administered, interpreted and construed by the Committee, which is authorized to make all determinations necessary, appropriate or advisable for such purpose. The Board of Directors of the Company (the “</w:t>
      </w:r>
      <w:r>
        <w:rPr>
          <w:rFonts w:ascii="Times New Roman;serif" w:hAnsi="Times New Roman;serif"/>
          <w:b/>
          <w:i/>
          <w:color w:val="000000"/>
          <w:sz w:val="24"/>
        </w:rPr>
        <w:t>Board</w:t>
      </w:r>
      <w:r>
        <w:rPr>
          <w:color w:val="000000"/>
        </w:rPr>
        <w:t>”</w:t>
      </w:r>
      <w:r>
        <w:rPr>
          <w:rFonts w:ascii="Times New Roman;serif" w:hAnsi="Times New Roman;serif"/>
          <w:b w:val="false"/>
          <w:color w:val="000000"/>
          <w:sz w:val="24"/>
        </w:rPr>
        <w:t xml:space="preserve">) may re-vest in itself the authority to administer, interpret and construe this Policy in accordance with applicable law, and in such event references herein to the “Committee” shall be deemed to be references to the Board. Subject to any permitted review by the applicable national securities exchange or association pursuant to the Applicable Rules, all determinations and decisions made by the Committee pursuant to the provisions of this Policy shall be final, conclusive and binding on all persons, including the Company and its affiliates, equityholders and employees. The Committee may delegate administrative duties with respect to this Policy to one or more directors or employees of the Company, as permitted under applicable law, including any Applicable Rules. </w:t>
      </w:r>
    </w:p>
    <w:p>
      <w:pPr>
        <w:pStyle w:val="TextBody"/>
        <w:bidi w:val="0"/>
        <w:spacing w:lineRule="auto" w:line="288" w:before="0" w:after="240"/>
        <w:jc w:val="both"/>
        <w:rPr/>
      </w:pPr>
      <w:r>
        <w:rPr>
          <w:rFonts w:ascii="Times New Roman;serif" w:hAnsi="Times New Roman;serif"/>
          <w:b/>
          <w:color w:val="000000"/>
          <w:sz w:val="24"/>
        </w:rPr>
        <w:t>6.    </w:t>
      </w:r>
      <w:r>
        <w:rPr>
          <w:rFonts w:ascii="Times New Roman;serif" w:hAnsi="Times New Roman;serif"/>
          <w:b/>
          <w:color w:val="000000"/>
          <w:sz w:val="24"/>
          <w:u w:val="single"/>
        </w:rPr>
        <w:t>Interpretation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This Policy will be interpreted and applied in a manner that is consistent with the requirements of the Applicable Rules, and to the extent this Policy is inconsistent with such Applicable Rules, it shall be deemed amended to the extent necessary to ensure it is consistent therewith. </w:t>
      </w:r>
    </w:p>
    <w:p>
      <w:pPr>
        <w:pStyle w:val="TextBody"/>
        <w:bidi w:val="0"/>
        <w:spacing w:lineRule="auto" w:line="288" w:before="0" w:after="240"/>
        <w:jc w:val="both"/>
        <w:rPr/>
      </w:pPr>
      <w:r>
        <w:rPr>
          <w:rFonts w:ascii="Times New Roman;serif" w:hAnsi="Times New Roman;serif"/>
          <w:b/>
          <w:color w:val="000000"/>
          <w:sz w:val="24"/>
        </w:rPr>
        <w:t>7.    </w:t>
      </w:r>
      <w:r>
        <w:rPr>
          <w:rFonts w:ascii="Times New Roman;serif" w:hAnsi="Times New Roman;serif"/>
          <w:b/>
          <w:color w:val="000000"/>
          <w:sz w:val="24"/>
          <w:u w:val="single"/>
        </w:rPr>
        <w:t>No Indemnification; No Personal Liability</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The Company shall not indemnify or insure any person against the loss of any Erroneously Awarded Compensation pursuant to this Policy, nor shall the Company directly or indirectly pay or reimburse any person for any premiums for third-party insurance policies that such person may elect to purchase to fund such person’s potential obligations under this Policy. No member of the Committee or the Board shall have any personal liability to any person as a </w:t>
      </w:r>
    </w:p>
    <w:p>
      <w:pPr>
        <w:pStyle w:val="TextBody"/>
        <w:bidi w:val="0"/>
        <w:spacing w:before="0" w:after="160"/>
        <w:jc w:val="left"/>
        <w:rPr/>
      </w:pPr>
      <w:r>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6480175" cy="1031240"/>
                <wp:effectExtent l="0" t="0" r="0" b="0"/>
                <wp:wrapNone/>
                <wp:docPr id="282" name="Frame277"/>
                <a:graphic xmlns:a="http://schemas.openxmlformats.org/drawingml/2006/main">
                  <a:graphicData uri="http://schemas.microsoft.com/office/word/2010/wordprocessingShape">
                    <wps:wsp>
                      <wps:cNvSpPr txBox="1"/>
                      <wps:spPr>
                        <a:xfrm>
                          <a:off x="0" y="0"/>
                          <a:ext cx="6480175" cy="1031240"/>
                        </a:xfrm>
                        <a:prstGeom prst="rect"/>
                        <a:solidFill>
                          <a:srgbClr val="FFFFFF"/>
                        </a:solidFill>
                      </wps:spPr>
                      <wps:txbx>
                        <w:txbxContent>
                          <w:p>
                            <w:pPr>
                              <w:pStyle w:val="TextBody"/>
                              <w:bidi w:val="0"/>
                              <w:spacing w:before="0" w:after="160"/>
                              <w:jc w:val="center"/>
                              <w:rPr/>
                            </w:pPr>
                            <w:r>
                              <w:rPr/>
                            </w:r>
                            <w:r>
                              <w:br w:type="page"/>
                            </w:r>
                          </w:p>
                          <w:p>
                            <w:pPr>
                              <w:pStyle w:val="TextBody"/>
                              <w:bidi w:val="0"/>
                              <w:spacing w:lineRule="auto" w:line="300" w:before="0" w:after="160"/>
                              <w:jc w:val="center"/>
                              <w:rPr>
                                <w:rFonts w:ascii="Times New Roman;serif" w:hAnsi="Times New Roman;serif"/>
                                <w:b w:val="false"/>
                                <w:color w:val="000000"/>
                                <w:sz w:val="22"/>
                              </w:rPr>
                            </w:pPr>
                            <w:r>
                              <w:rPr>
                                <w:rFonts w:ascii="Times New Roman;serif" w:hAnsi="Times New Roman;serif"/>
                                <w:b w:val="false"/>
                                <w:color w:val="000000"/>
                                <w:sz w:val="22"/>
                              </w:rPr>
                              <w:t>2</w:t>
                            </w:r>
                          </w:p>
                          <w:p>
                            <w:pPr>
                              <w:pStyle w:val="TextBody"/>
                              <w:bidi w:val="0"/>
                              <w:spacing w:before="0" w:after="160"/>
                              <w:jc w:val="left"/>
                              <w:rPr/>
                            </w:pPr>
                            <w:r>
                              <w:rPr/>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center"/>
                        <w:rPr/>
                      </w:pPr>
                      <w:r>
                        <w:rPr/>
                      </w:r>
                    </w:p>
                    <w:p>
                      <w:pPr>
                        <w:pStyle w:val="TextBody"/>
                        <w:bidi w:val="0"/>
                        <w:spacing w:lineRule="auto" w:line="300" w:before="0" w:after="160"/>
                        <w:jc w:val="center"/>
                        <w:rPr>
                          <w:rFonts w:ascii="Times New Roman;serif" w:hAnsi="Times New Roman;serif"/>
                          <w:b w:val="false"/>
                          <w:color w:val="000000"/>
                          <w:sz w:val="22"/>
                        </w:rPr>
                      </w:pPr>
                      <w:r>
                        <w:rPr>
                          <w:rFonts w:ascii="Times New Roman;serif" w:hAnsi="Times New Roman;serif"/>
                          <w:b w:val="false"/>
                          <w:color w:val="000000"/>
                          <w:sz w:val="22"/>
                        </w:rPr>
                        <w:t>2</w:t>
                      </w:r>
                    </w:p>
                    <w:p>
                      <w:pPr>
                        <w:pStyle w:val="TextBody"/>
                        <w:bidi w:val="0"/>
                        <w:spacing w:before="0" w:after="160"/>
                        <w:jc w:val="left"/>
                        <w:rPr/>
                      </w:pPr>
                      <w:r>
                        <w:rPr/>
                      </w:r>
                    </w:p>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result of actions taken under this Policy and each member of the Committee and the Board will be fully indemnified by the Company to the fullest extent available under applicable law and the Company’s governing documents with respect to any actions taken under this Policy. The foregoing sentence will not limit any other rights to indemnification of the members of the Board under applicable law and the Company’s governing documents.</w:t>
      </w:r>
    </w:p>
    <w:p>
      <w:pPr>
        <w:pStyle w:val="TextBody"/>
        <w:bidi w:val="0"/>
        <w:spacing w:lineRule="auto" w:line="288" w:before="0" w:after="240"/>
        <w:jc w:val="both"/>
        <w:rPr/>
      </w:pPr>
      <w:r>
        <w:rPr>
          <w:rFonts w:ascii="Times New Roman;serif" w:hAnsi="Times New Roman;serif"/>
          <w:b/>
          <w:color w:val="000000"/>
          <w:sz w:val="24"/>
        </w:rPr>
        <w:t>8.    </w:t>
      </w:r>
      <w:r>
        <w:rPr>
          <w:rFonts w:ascii="Times New Roman;serif" w:hAnsi="Times New Roman;serif"/>
          <w:b/>
          <w:color w:val="000000"/>
          <w:sz w:val="24"/>
          <w:u w:val="single"/>
        </w:rPr>
        <w:t>Application; Enforceability</w:t>
      </w:r>
    </w:p>
    <w:p>
      <w:pPr>
        <w:pStyle w:val="TextBody"/>
        <w:bidi w:val="0"/>
        <w:spacing w:lineRule="auto" w:line="288" w:before="0" w:after="240"/>
        <w:ind w:left="0" w:right="0" w:firstLine="720"/>
        <w:jc w:val="both"/>
        <w:rPr/>
      </w:pPr>
      <w:r>
        <w:rPr>
          <w:rFonts w:ascii="Times New Roman;serif" w:hAnsi="Times New Roman;serif"/>
          <w:b w:val="false"/>
          <w:color w:val="000000"/>
          <w:sz w:val="24"/>
        </w:rPr>
        <w:t>Except as otherwise determined by the Committee or the Board, the adoption of this Policy does not limit, and is intended to apply in addition to, any other clawback, recoupment, forfeiture or similar policies or provisions of the Company or its affiliates, including any such policies or provisions of such effect contained in any employment agreement, bonus plan, incentive plan, equity-based plan or award agreement thereunder or similar plan, program or agreement of the Company or an affiliate or required under applicable law (the “</w:t>
      </w:r>
      <w:r>
        <w:rPr>
          <w:rFonts w:ascii="Times New Roman;serif" w:hAnsi="Times New Roman;serif"/>
          <w:b/>
          <w:i/>
          <w:color w:val="000000"/>
          <w:sz w:val="24"/>
        </w:rPr>
        <w:t>Other Recovery Arrangements</w:t>
      </w:r>
      <w:r>
        <w:rPr>
          <w:color w:val="000000"/>
        </w:rPr>
        <w:t>”</w:t>
      </w:r>
      <w:r>
        <w:rPr>
          <w:rFonts w:ascii="Times New Roman;serif" w:hAnsi="Times New Roman;serif"/>
          <w:b w:val="false"/>
          <w:color w:val="000000"/>
          <w:sz w:val="24"/>
        </w:rPr>
        <w:t>). The remedy specified in this Policy shall not be exclusive and shall be in addition to every other right or remedy at law or in equity that may be available to the Company or an affiliate of the Company.</w:t>
      </w:r>
    </w:p>
    <w:p>
      <w:pPr>
        <w:pStyle w:val="TextBody"/>
        <w:bidi w:val="0"/>
        <w:spacing w:lineRule="auto" w:line="288" w:before="0" w:after="240"/>
        <w:jc w:val="both"/>
        <w:rPr/>
      </w:pPr>
      <w:r>
        <w:rPr>
          <w:rFonts w:ascii="Times New Roman;serif" w:hAnsi="Times New Roman;serif"/>
          <w:b/>
          <w:color w:val="000000"/>
          <w:sz w:val="24"/>
        </w:rPr>
        <w:t>9.    </w:t>
      </w:r>
      <w:r>
        <w:rPr>
          <w:rFonts w:ascii="Times New Roman;serif" w:hAnsi="Times New Roman;serif"/>
          <w:b/>
          <w:color w:val="000000"/>
          <w:sz w:val="24"/>
          <w:u w:val="single"/>
        </w:rPr>
        <w:t>Severability</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The provisions in this Policy are intended to be applied to the fullest extent of the law; provided, however, to the extent that any provision of this Policy is found to be unenforceable or invalid under any applicable law, such provision will be applied to the maximum extent permitted, and shall automatically be deemed amended in a manner consistent with its objectives to the extent necessary to conform to any limitations required under applicable law. </w:t>
      </w:r>
    </w:p>
    <w:p>
      <w:pPr>
        <w:pStyle w:val="TextBody"/>
        <w:bidi w:val="0"/>
        <w:spacing w:lineRule="auto" w:line="288" w:before="0" w:after="240"/>
        <w:jc w:val="both"/>
        <w:rPr/>
      </w:pPr>
      <w:r>
        <w:rPr>
          <w:rFonts w:ascii="Times New Roman;serif" w:hAnsi="Times New Roman;serif"/>
          <w:b/>
          <w:color w:val="000000"/>
          <w:sz w:val="24"/>
        </w:rPr>
        <w:t>10.    </w:t>
      </w:r>
      <w:r>
        <w:rPr>
          <w:rFonts w:ascii="Times New Roman;serif" w:hAnsi="Times New Roman;serif"/>
          <w:b/>
          <w:color w:val="000000"/>
          <w:sz w:val="24"/>
          <w:u w:val="single"/>
        </w:rPr>
        <w:t>Amendment and Termination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Board or the Committee may amend, modify or terminate this Policy in whole or in part at any time and from time to time in its sole discretion. This Policy will terminate automatically when the Company does not have a class of securities listed on a national securities exchange or association and will be limited the extent that any provision of the Applicable Rules is no longer in effect or applicable to the Company.</w:t>
      </w:r>
    </w:p>
    <w:p>
      <w:pPr>
        <w:pStyle w:val="TextBody"/>
        <w:bidi w:val="0"/>
        <w:spacing w:lineRule="auto" w:line="300" w:before="0" w:after="160"/>
        <w:jc w:val="left"/>
        <w:rPr/>
      </w:pPr>
      <w:r>
        <w:rPr>
          <w:rFonts w:ascii="Times New Roman;serif" w:hAnsi="Times New Roman;serif"/>
          <w:b/>
          <w:color w:val="000000"/>
          <w:sz w:val="24"/>
        </w:rPr>
        <w:t>11.    </w:t>
      </w:r>
      <w:r>
        <w:rPr>
          <w:rFonts w:ascii="Times New Roman;serif" w:hAnsi="Times New Roman;serif"/>
          <w:b/>
          <w:color w:val="000000"/>
          <w:sz w:val="24"/>
          <w:u w:val="single"/>
        </w:rPr>
        <w:t>Definitions</w:t>
      </w:r>
    </w:p>
    <w:p>
      <w:pPr>
        <w:pStyle w:val="TextBody"/>
        <w:bidi w:val="0"/>
        <w:spacing w:lineRule="auto" w:line="300" w:before="0" w:after="160"/>
        <w:jc w:val="both"/>
        <w:rPr/>
      </w:pPr>
      <w:r>
        <w:rPr>
          <w:color w:val="000000"/>
        </w:rPr>
        <w:t>    “</w:t>
      </w:r>
      <w:r>
        <w:rPr>
          <w:rFonts w:ascii="Times New Roman;serif" w:hAnsi="Times New Roman;serif"/>
          <w:b/>
          <w:i/>
          <w:color w:val="000000"/>
          <w:sz w:val="24"/>
        </w:rPr>
        <w:t>Applicable Rules</w:t>
      </w:r>
      <w:r>
        <w:rPr>
          <w:color w:val="000000"/>
        </w:rPr>
        <w:t xml:space="preserve">” </w:t>
      </w:r>
      <w:r>
        <w:rPr>
          <w:rFonts w:ascii="Times New Roman;serif" w:hAnsi="Times New Roman;serif"/>
          <w:b w:val="false"/>
          <w:color w:val="000000"/>
          <w:sz w:val="24"/>
        </w:rPr>
        <w:t>means Section 10D of the Exchange Act, Rule 10D-1 promulgated thereunder, the listing rules of the national securities exchange or association on which the Company’s securities are listed, and any applicable rules, standards or other guidance adopted by the Securities and Exchange Commission or any national securities exchange or association on which the Company’s securities are listed, in each case, as amended from time to time.</w:t>
      </w:r>
    </w:p>
    <w:p>
      <w:pPr>
        <w:pStyle w:val="TextBody"/>
        <w:bidi w:val="0"/>
        <w:spacing w:before="0" w:after="160"/>
        <w:jc w:val="left"/>
        <w:rPr/>
      </w:pPr>
      <w:r>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6480175" cy="1031240"/>
                <wp:effectExtent l="0" t="0" r="0" b="0"/>
                <wp:wrapNone/>
                <wp:docPr id="283" name="Frame278"/>
                <a:graphic xmlns:a="http://schemas.openxmlformats.org/drawingml/2006/main">
                  <a:graphicData uri="http://schemas.microsoft.com/office/word/2010/wordprocessingShape">
                    <wps:wsp>
                      <wps:cNvSpPr txBox="1"/>
                      <wps:spPr>
                        <a:xfrm>
                          <a:off x="0" y="0"/>
                          <a:ext cx="6480175" cy="1031240"/>
                        </a:xfrm>
                        <a:prstGeom prst="rect"/>
                        <a:solidFill>
                          <a:srgbClr val="FFFFFF"/>
                        </a:solidFill>
                      </wps:spPr>
                      <wps:txbx>
                        <w:txbxContent>
                          <w:p>
                            <w:pPr>
                              <w:pStyle w:val="TextBody"/>
                              <w:bidi w:val="0"/>
                              <w:spacing w:before="0" w:after="160"/>
                              <w:jc w:val="center"/>
                              <w:rPr/>
                            </w:pPr>
                            <w:r>
                              <w:rPr/>
                            </w:r>
                            <w:r>
                              <w:br w:type="page"/>
                            </w:r>
                          </w:p>
                          <w:p>
                            <w:pPr>
                              <w:pStyle w:val="TextBody"/>
                              <w:bidi w:val="0"/>
                              <w:spacing w:lineRule="auto" w:line="300" w:before="0" w:after="160"/>
                              <w:jc w:val="center"/>
                              <w:rPr>
                                <w:rFonts w:ascii="Times New Roman;serif" w:hAnsi="Times New Roman;serif"/>
                                <w:b w:val="false"/>
                                <w:color w:val="000000"/>
                                <w:sz w:val="22"/>
                              </w:rPr>
                            </w:pPr>
                            <w:r>
                              <w:rPr>
                                <w:rFonts w:ascii="Times New Roman;serif" w:hAnsi="Times New Roman;serif"/>
                                <w:b w:val="false"/>
                                <w:color w:val="000000"/>
                                <w:sz w:val="22"/>
                              </w:rPr>
                              <w:t>3</w:t>
                            </w:r>
                          </w:p>
                          <w:p>
                            <w:pPr>
                              <w:pStyle w:val="TextBody"/>
                              <w:bidi w:val="0"/>
                              <w:spacing w:before="0" w:after="160"/>
                              <w:jc w:val="left"/>
                              <w:rPr/>
                            </w:pPr>
                            <w:r>
                              <w:rPr/>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center"/>
                        <w:rPr/>
                      </w:pPr>
                      <w:r>
                        <w:rPr/>
                      </w:r>
                    </w:p>
                    <w:p>
                      <w:pPr>
                        <w:pStyle w:val="TextBody"/>
                        <w:bidi w:val="0"/>
                        <w:spacing w:lineRule="auto" w:line="300" w:before="0" w:after="160"/>
                        <w:jc w:val="center"/>
                        <w:rPr>
                          <w:rFonts w:ascii="Times New Roman;serif" w:hAnsi="Times New Roman;serif"/>
                          <w:b w:val="false"/>
                          <w:color w:val="000000"/>
                          <w:sz w:val="22"/>
                        </w:rPr>
                      </w:pPr>
                      <w:r>
                        <w:rPr>
                          <w:rFonts w:ascii="Times New Roman;serif" w:hAnsi="Times New Roman;serif"/>
                          <w:b w:val="false"/>
                          <w:color w:val="000000"/>
                          <w:sz w:val="22"/>
                        </w:rPr>
                        <w:t>3</w:t>
                      </w:r>
                    </w:p>
                    <w:p>
                      <w:pPr>
                        <w:pStyle w:val="TextBody"/>
                        <w:bidi w:val="0"/>
                        <w:spacing w:before="0" w:after="160"/>
                        <w:jc w:val="left"/>
                        <w:rPr/>
                      </w:pPr>
                      <w:r>
                        <w:rPr/>
                      </w:r>
                    </w:p>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Committee</w:t>
      </w:r>
      <w:r>
        <w:rPr>
          <w:color w:val="000000"/>
        </w:rPr>
        <w:t xml:space="preserve">” </w:t>
      </w:r>
      <w:r>
        <w:rPr>
          <w:rFonts w:ascii="Times New Roman;serif" w:hAnsi="Times New Roman;serif"/>
          <w:b w:val="false"/>
          <w:color w:val="000000"/>
          <w:sz w:val="24"/>
        </w:rPr>
        <w:t>means the committee of the Board responsible for executive compensation decisions comprised solely of independent directors (as determined under the Applicable Rules), or in the absence of such a committee, a majority of the independent directors serving on the Board.</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Erroneously Awarded Compensation</w:t>
      </w:r>
      <w:r>
        <w:rPr>
          <w:color w:val="000000"/>
        </w:rPr>
        <w:t xml:space="preserve">” </w:t>
      </w:r>
      <w:r>
        <w:rPr>
          <w:rFonts w:ascii="Times New Roman;serif" w:hAnsi="Times New Roman;serif"/>
          <w:b w:val="false"/>
          <w:color w:val="000000"/>
          <w:sz w:val="24"/>
        </w:rPr>
        <w:t xml:space="preserve">means the amount of Incentive-Based Compensation received by a current or former Officer that exceeds the amount of Incentive-Based Compensation that would have been received by such current or former Officer based on a restated Financial Reporting Measure, as determined on a pre-tax basis in accordance with the Applicable Rules. </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Exchange Act</w:t>
      </w:r>
      <w:r>
        <w:rPr>
          <w:color w:val="000000"/>
        </w:rPr>
        <w:t xml:space="preserve">” </w:t>
      </w:r>
      <w:r>
        <w:rPr>
          <w:rFonts w:ascii="Times New Roman;serif" w:hAnsi="Times New Roman;serif"/>
          <w:b w:val="false"/>
          <w:color w:val="000000"/>
          <w:sz w:val="24"/>
        </w:rPr>
        <w:t>means the Securities Exchange Act of 1934, as amended.</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Financial Reporting Measure</w:t>
      </w:r>
      <w:r>
        <w:rPr>
          <w:color w:val="000000"/>
        </w:rPr>
        <w:t xml:space="preserve">” </w:t>
      </w:r>
      <w:r>
        <w:rPr>
          <w:rFonts w:ascii="Times New Roman;serif" w:hAnsi="Times New Roman;serif"/>
          <w:b w:val="false"/>
          <w:color w:val="000000"/>
          <w:sz w:val="24"/>
        </w:rPr>
        <w:t xml:space="preserve">means any measure determined and presented in accordance with the accounting principles used in preparing the Company’s financial statements, and any measures derived wholly or in part from such measures, including GAAP, IFRS and non-GAAP/IFRS financial measures, as well as stock or share price and total equityholder return. </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GAAP</w:t>
      </w:r>
      <w:r>
        <w:rPr>
          <w:color w:val="000000"/>
        </w:rPr>
        <w:t xml:space="preserve">” </w:t>
      </w:r>
      <w:r>
        <w:rPr>
          <w:rFonts w:ascii="Times New Roman;serif" w:hAnsi="Times New Roman;serif"/>
          <w:b w:val="false"/>
          <w:color w:val="000000"/>
          <w:sz w:val="24"/>
        </w:rPr>
        <w:t>means United States generally accepted accounting principles.</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IFRS</w:t>
      </w:r>
      <w:r>
        <w:rPr>
          <w:color w:val="000000"/>
        </w:rPr>
        <w:t xml:space="preserve">” </w:t>
      </w:r>
      <w:r>
        <w:rPr>
          <w:rFonts w:ascii="Times New Roman;serif" w:hAnsi="Times New Roman;serif"/>
          <w:b w:val="false"/>
          <w:color w:val="000000"/>
          <w:sz w:val="24"/>
        </w:rPr>
        <w:t>means international financial reporting standards as adopted by the International Accounting Standards Board.</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Impracticable</w:t>
      </w:r>
      <w:r>
        <w:rPr>
          <w:color w:val="000000"/>
        </w:rPr>
        <w:t xml:space="preserve">” </w:t>
      </w:r>
      <w:r>
        <w:rPr>
          <w:rFonts w:ascii="Times New Roman;serif" w:hAnsi="Times New Roman;serif"/>
          <w:b w:val="false"/>
          <w:color w:val="000000"/>
          <w:sz w:val="24"/>
        </w:rPr>
        <w:t>means (a) the direct costs paid to third parties to assist in enforcing recovery would exceed the Erroneously Awarded Compensation; provided that the Company (i) has made reasonable attempts to recover the Erroneously Awarded Compensation, (ii) documented such attempt(s), and (iii) provided such documentation to the relevant listing exchange or association, (b) to the extent permitted by the Applicable Rules, the recovery would violate the Company’s home country laws pursuant to an opinion of home country counsel; provided that the Company has (i) obtained an opinion of home country counsel, acceptable to the relevant listing exchange or association, that recovery would result in such violation, and (ii) provided such opinion to the relevant listing exchange or association, or (c) recovery would likely cause an otherwise tax-qualified retirement plan, under which benefits are broadly available to employees of the Company, to fail to meet the requirements of 26 U.S.C. 401(a)(13) or 26 U.S.C. 411(a) and the regulations thereunder.</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Incentive-Based Compensation</w:t>
      </w:r>
      <w:r>
        <w:rPr>
          <w:color w:val="000000"/>
        </w:rPr>
        <w:t xml:space="preserve">” </w:t>
      </w:r>
      <w:r>
        <w:rPr>
          <w:rFonts w:ascii="Times New Roman;serif" w:hAnsi="Times New Roman;serif"/>
          <w:b w:val="false"/>
          <w:color w:val="000000"/>
          <w:sz w:val="24"/>
        </w:rPr>
        <w:t xml:space="preserve">means, with respect to a Restatement, any compensation that is granted, earned, or vested based wholly or in part upon the attainment of one or more Financial Reporting Measures and received by a person: (a) after beginning service as an Officer; (b) who served as an Officer at any time during the performance period for that compensation; (c) while the issuer has a class of its securities listed on a national securities exchange or association; and (d) during the applicable Three-Year Period. </w:t>
      </w:r>
    </w:p>
    <w:p>
      <w:pPr>
        <w:pStyle w:val="TextBody"/>
        <w:bidi w:val="0"/>
        <w:spacing w:before="0" w:after="160"/>
        <w:jc w:val="left"/>
        <w:rPr/>
      </w:pPr>
      <w:r>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6480175" cy="1031240"/>
                <wp:effectExtent l="0" t="0" r="0" b="0"/>
                <wp:wrapNone/>
                <wp:docPr id="284" name="Frame279"/>
                <a:graphic xmlns:a="http://schemas.openxmlformats.org/drawingml/2006/main">
                  <a:graphicData uri="http://schemas.microsoft.com/office/word/2010/wordprocessingShape">
                    <wps:wsp>
                      <wps:cNvSpPr txBox="1"/>
                      <wps:spPr>
                        <a:xfrm>
                          <a:off x="0" y="0"/>
                          <a:ext cx="6480175" cy="1031240"/>
                        </a:xfrm>
                        <a:prstGeom prst="rect"/>
                        <a:solidFill>
                          <a:srgbClr val="FFFFFF"/>
                        </a:solidFill>
                      </wps:spPr>
                      <wps:txbx>
                        <w:txbxContent>
                          <w:p>
                            <w:pPr>
                              <w:pStyle w:val="TextBody"/>
                              <w:bidi w:val="0"/>
                              <w:spacing w:before="0" w:after="160"/>
                              <w:jc w:val="center"/>
                              <w:rPr/>
                            </w:pPr>
                            <w:r>
                              <w:rPr/>
                            </w:r>
                            <w:r>
                              <w:br w:type="page"/>
                            </w:r>
                          </w:p>
                          <w:p>
                            <w:pPr>
                              <w:pStyle w:val="TextBody"/>
                              <w:bidi w:val="0"/>
                              <w:spacing w:lineRule="auto" w:line="300" w:before="0" w:after="160"/>
                              <w:jc w:val="center"/>
                              <w:rPr>
                                <w:rFonts w:ascii="Times New Roman;serif" w:hAnsi="Times New Roman;serif"/>
                                <w:b w:val="false"/>
                                <w:color w:val="000000"/>
                                <w:sz w:val="22"/>
                              </w:rPr>
                            </w:pPr>
                            <w:r>
                              <w:rPr>
                                <w:rFonts w:ascii="Times New Roman;serif" w:hAnsi="Times New Roman;serif"/>
                                <w:b w:val="false"/>
                                <w:color w:val="000000"/>
                                <w:sz w:val="22"/>
                              </w:rPr>
                              <w:t>4</w:t>
                            </w:r>
                          </w:p>
                          <w:p>
                            <w:pPr>
                              <w:pStyle w:val="TextBody"/>
                              <w:bidi w:val="0"/>
                              <w:spacing w:before="0" w:after="160"/>
                              <w:jc w:val="left"/>
                              <w:rPr/>
                            </w:pPr>
                            <w:r>
                              <w:rPr/>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center"/>
                        <w:rPr/>
                      </w:pPr>
                      <w:r>
                        <w:rPr/>
                      </w:r>
                    </w:p>
                    <w:p>
                      <w:pPr>
                        <w:pStyle w:val="TextBody"/>
                        <w:bidi w:val="0"/>
                        <w:spacing w:lineRule="auto" w:line="300" w:before="0" w:after="160"/>
                        <w:jc w:val="center"/>
                        <w:rPr>
                          <w:rFonts w:ascii="Times New Roman;serif" w:hAnsi="Times New Roman;serif"/>
                          <w:b w:val="false"/>
                          <w:color w:val="000000"/>
                          <w:sz w:val="22"/>
                        </w:rPr>
                      </w:pPr>
                      <w:r>
                        <w:rPr>
                          <w:rFonts w:ascii="Times New Roman;serif" w:hAnsi="Times New Roman;serif"/>
                          <w:b w:val="false"/>
                          <w:color w:val="000000"/>
                          <w:sz w:val="22"/>
                        </w:rPr>
                        <w:t>4</w:t>
                      </w:r>
                    </w:p>
                    <w:p>
                      <w:pPr>
                        <w:pStyle w:val="TextBody"/>
                        <w:bidi w:val="0"/>
                        <w:spacing w:before="0" w:after="160"/>
                        <w:jc w:val="left"/>
                        <w:rPr/>
                      </w:pPr>
                      <w:r>
                        <w:rPr/>
                      </w:r>
                    </w:p>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Officer</w:t>
      </w:r>
      <w:r>
        <w:rPr>
          <w:color w:val="000000"/>
        </w:rPr>
        <w:t xml:space="preserve">” </w:t>
      </w:r>
      <w:r>
        <w:rPr>
          <w:rFonts w:ascii="Times New Roman;serif" w:hAnsi="Times New Roman;serif"/>
          <w:b w:val="false"/>
          <w:color w:val="000000"/>
          <w:sz w:val="24"/>
        </w:rPr>
        <w:t>means each person who serves as an executive officer of the Company, as defined in Rule 10D-1(d) under the Exchange Act.</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Restatement</w:t>
      </w:r>
      <w:r>
        <w:rPr>
          <w:color w:val="000000"/>
        </w:rPr>
        <w:t xml:space="preserve">” </w:t>
      </w:r>
      <w:r>
        <w:rPr>
          <w:rFonts w:ascii="Times New Roman;serif" w:hAnsi="Times New Roman;serif"/>
          <w:b w:val="false"/>
          <w:color w:val="000000"/>
          <w:sz w:val="24"/>
        </w:rPr>
        <w:t>means an accounting restatement to correct the Company’s material noncompliance with any financial reporting requirement under securities laws, including restatements that correct an error in previously issued financial statements (a) that is material to the previously issued financial statements or (b) that would result in a material misstatement if the error were corrected in the current period or left uncorrected in the current period.</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Three-Year Period</w:t>
      </w:r>
      <w:r>
        <w:rPr>
          <w:color w:val="000000"/>
        </w:rPr>
        <w:t xml:space="preserve">” </w:t>
      </w:r>
      <w:r>
        <w:rPr>
          <w:rFonts w:ascii="Times New Roman;serif" w:hAnsi="Times New Roman;serif"/>
          <w:b w:val="false"/>
          <w:color w:val="000000"/>
          <w:sz w:val="24"/>
        </w:rPr>
        <w:t>means, with respect to a Restatement, the three completed fiscal years immediately preceding the date that the Board, a committee of the Board, or the officer or officers of the Company authorized to take such action if Board action is not required, concludes, or reasonably should have concluded, that the Company is required to prepare such Restatement, or, if earlier, the date on which a court, regulator or other legally authorized body directs the Company to prepare such Restatement.</w:t>
      </w:r>
      <w:r>
        <w:rPr>
          <w:color w:val="000000"/>
        </w:rPr>
        <w:t xml:space="preserve"> </w:t>
      </w:r>
      <w:r>
        <w:rPr>
          <w:rFonts w:ascii="Times New Roman;serif" w:hAnsi="Times New Roman;serif"/>
          <w:b w:val="false"/>
          <w:color w:val="000000"/>
          <w:sz w:val="24"/>
        </w:rPr>
        <w:t>The “Three-Year Period” also includes any transition period (that results from a change in the Company’s fiscal year) within or immediately following the three completed fiscal years identified in the preceding sentence.</w:t>
      </w:r>
      <w:r>
        <w:rPr>
          <w:color w:val="000000"/>
        </w:rPr>
        <w:t xml:space="preserve"> </w:t>
      </w:r>
      <w:r>
        <w:rPr>
          <w:rFonts w:ascii="Times New Roman;serif" w:hAnsi="Times New Roman;serif"/>
          <w:b w:val="false"/>
          <w:color w:val="000000"/>
          <w:sz w:val="24"/>
        </w:rPr>
        <w:t>However, a transition period between the last day of the Company’s previous fiscal year end and the first day of its new fiscal year that comprises a period of nine to 12 months shall be deemed a completed fiscal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60"/>
        <w:jc w:val="left"/>
        <w:rPr/>
      </w:pPr>
      <w:r>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6480175" cy="1031240"/>
                <wp:effectExtent l="0" t="0" r="0" b="0"/>
                <wp:wrapNone/>
                <wp:docPr id="285" name="Frame280"/>
                <a:graphic xmlns:a="http://schemas.openxmlformats.org/drawingml/2006/main">
                  <a:graphicData uri="http://schemas.microsoft.com/office/word/2010/wordprocessingShape">
                    <wps:wsp>
                      <wps:cNvSpPr txBox="1"/>
                      <wps:spPr>
                        <a:xfrm>
                          <a:off x="0" y="0"/>
                          <a:ext cx="6480175" cy="1031240"/>
                        </a:xfrm>
                        <a:prstGeom prst="rect"/>
                        <a:solidFill>
                          <a:srgbClr val="FFFFFF"/>
                        </a:solidFill>
                      </wps:spPr>
                      <wps:txbx>
                        <w:txbxContent>
                          <w:p>
                            <w:pPr>
                              <w:pStyle w:val="TextBody"/>
                              <w:bidi w:val="0"/>
                              <w:spacing w:before="0" w:after="160"/>
                              <w:jc w:val="center"/>
                              <w:rPr/>
                            </w:pPr>
                            <w:r>
                              <w:rPr/>
                            </w:r>
                            <w:r>
                              <w:br w:type="page"/>
                            </w:r>
                          </w:p>
                          <w:p>
                            <w:pPr>
                              <w:pStyle w:val="TextBody"/>
                              <w:bidi w:val="0"/>
                              <w:spacing w:lineRule="auto" w:line="300" w:before="0" w:after="160"/>
                              <w:jc w:val="center"/>
                              <w:rPr>
                                <w:rFonts w:ascii="Times New Roman;serif" w:hAnsi="Times New Roman;serif"/>
                                <w:b w:val="false"/>
                                <w:color w:val="000000"/>
                                <w:sz w:val="22"/>
                              </w:rPr>
                            </w:pPr>
                            <w:r>
                              <w:rPr>
                                <w:rFonts w:ascii="Times New Roman;serif" w:hAnsi="Times New Roman;serif"/>
                                <w:b w:val="false"/>
                                <w:color w:val="000000"/>
                                <w:sz w:val="22"/>
                              </w:rPr>
                              <w:t>5</w:t>
                            </w:r>
                          </w:p>
                          <w:p>
                            <w:pPr>
                              <w:pStyle w:val="TextBody"/>
                              <w:bidi w:val="0"/>
                              <w:spacing w:before="0" w:after="160"/>
                              <w:jc w:val="left"/>
                              <w:rPr/>
                            </w:pPr>
                            <w:r>
                              <w:rPr/>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center"/>
                        <w:rPr/>
                      </w:pPr>
                      <w:r>
                        <w:rPr/>
                      </w:r>
                    </w:p>
                    <w:p>
                      <w:pPr>
                        <w:pStyle w:val="TextBody"/>
                        <w:bidi w:val="0"/>
                        <w:spacing w:lineRule="auto" w:line="300" w:before="0" w:after="160"/>
                        <w:jc w:val="center"/>
                        <w:rPr>
                          <w:rFonts w:ascii="Times New Roman;serif" w:hAnsi="Times New Roman;serif"/>
                          <w:b w:val="false"/>
                          <w:color w:val="000000"/>
                          <w:sz w:val="22"/>
                        </w:rPr>
                      </w:pPr>
                      <w:r>
                        <w:rPr>
                          <w:rFonts w:ascii="Times New Roman;serif" w:hAnsi="Times New Roman;serif"/>
                          <w:b w:val="false"/>
                          <w:color w:val="000000"/>
                          <w:sz w:val="22"/>
                        </w:rPr>
                        <w:t>5</w:t>
                      </w:r>
                    </w:p>
                    <w:p>
                      <w:pPr>
                        <w:pStyle w:val="TextBody"/>
                        <w:bidi w:val="0"/>
                        <w:spacing w:before="0" w:after="160"/>
                        <w:jc w:val="left"/>
                        <w:rPr/>
                      </w:pPr>
                      <w:r>
                        <w:rPr/>
                      </w:r>
                    </w:p>
                    <w:p>
                      <w:pPr>
                        <w:pStyle w:val="TextBody"/>
                        <w:bidi w:val="0"/>
                        <w:spacing w:before="0" w:after="160"/>
                        <w:jc w:val="left"/>
                        <w:rPr/>
                      </w:pPr>
                      <w:r>
                        <w:rPr/>
                      </w:r>
                    </w:p>
                  </w:txbxContent>
                </v:textbox>
                <w10:wrap type="none"/>
              </v:rect>
            </w:pict>
          </mc:Fallback>
        </mc:AlternateContent>
      </w:r>
    </w:p>
    <w:p>
      <w:pPr>
        <w:pStyle w:val="TextBody"/>
        <w:bidi w:val="0"/>
        <w:spacing w:lineRule="auto" w:line="300" w:before="0" w:after="160"/>
        <w:jc w:val="center"/>
        <w:rPr>
          <w:rFonts w:ascii="Times New Roman;serif" w:hAnsi="Times New Roman;serif"/>
          <w:b/>
          <w:color w:val="000000"/>
          <w:sz w:val="24"/>
        </w:rPr>
      </w:pPr>
      <w:r>
        <w:rPr>
          <w:rFonts w:ascii="Times New Roman;serif" w:hAnsi="Times New Roman;serif"/>
          <w:b/>
          <w:color w:val="000000"/>
          <w:sz w:val="24"/>
        </w:rPr>
        <w:t xml:space="preserve">ACKNOWLEDGMENT AND CONSENT TO </w:t>
        <w:br/>
        <w:t>POLICY FOR RECOVERY OF ERRONEOUSLY AWARDED COMPENSATION</w:t>
      </w:r>
    </w:p>
    <w:p>
      <w:pPr>
        <w:pStyle w:val="TextBody"/>
        <w:bidi w:val="0"/>
        <w:spacing w:lineRule="auto" w:line="300" w:before="0" w:after="160"/>
        <w:jc w:val="both"/>
        <w:rPr/>
      </w:pPr>
      <w:r>
        <w:rPr>
          <w:rFonts w:ascii="Times New Roman;serif" w:hAnsi="Times New Roman;serif"/>
          <w:b/>
          <w:color w:val="000000"/>
          <w:sz w:val="24"/>
        </w:rPr>
        <w:br/>
      </w:r>
      <w:r>
        <w:rPr>
          <w:rFonts w:ascii="Times New Roman;serif" w:hAnsi="Times New Roman;serif"/>
          <w:b w:val="false"/>
          <w:color w:val="000000"/>
          <w:sz w:val="24"/>
        </w:rPr>
        <w:t>The undersigned has received a copy of the Policy for Recovery of Erroneously Awarded Compensation (the “</w:t>
      </w:r>
      <w:r>
        <w:rPr>
          <w:rFonts w:ascii="Times New Roman;serif" w:hAnsi="Times New Roman;serif"/>
          <w:b/>
          <w:i/>
          <w:color w:val="000000"/>
          <w:sz w:val="24"/>
        </w:rPr>
        <w:t>Policy</w:t>
      </w:r>
      <w:r>
        <w:rPr>
          <w:color w:val="000000"/>
        </w:rPr>
        <w:t>”</w:t>
      </w:r>
      <w:r>
        <w:rPr>
          <w:rFonts w:ascii="Times New Roman;serif" w:hAnsi="Times New Roman;serif"/>
          <w:b w:val="false"/>
          <w:color w:val="000000"/>
          <w:sz w:val="24"/>
        </w:rPr>
        <w:t>) adopted by Figure Technology Solutions, Inc. (the “</w:t>
      </w:r>
      <w:r>
        <w:rPr>
          <w:rFonts w:ascii="Times New Roman;serif" w:hAnsi="Times New Roman;serif"/>
          <w:b/>
          <w:i/>
          <w:color w:val="000000"/>
          <w:sz w:val="24"/>
        </w:rPr>
        <w:t>Company</w:t>
      </w:r>
      <w:r>
        <w:rPr>
          <w:color w:val="000000"/>
        </w:rPr>
        <w:t>”</w:t>
      </w:r>
      <w:r>
        <w:rPr>
          <w:rFonts w:ascii="Times New Roman;serif" w:hAnsi="Times New Roman;serif"/>
          <w:b w:val="false"/>
          <w:color w:val="000000"/>
          <w:sz w:val="24"/>
        </w:rPr>
        <w:t>).</w:t>
      </w:r>
    </w:p>
    <w:p>
      <w:pPr>
        <w:pStyle w:val="TextBody"/>
        <w:bidi w:val="0"/>
        <w:spacing w:lineRule="auto" w:line="300" w:before="0" w:after="160"/>
        <w:jc w:val="both"/>
        <w:rPr>
          <w:rFonts w:ascii="Times New Roman;serif" w:hAnsi="Times New Roman;serif"/>
          <w:b w:val="false"/>
          <w:color w:val="000000"/>
          <w:sz w:val="24"/>
        </w:rPr>
      </w:pPr>
      <w:r>
        <w:rPr>
          <w:rFonts w:ascii="Times New Roman;serif" w:hAnsi="Times New Roman;serif"/>
          <w:b w:val="false"/>
          <w:color w:val="000000"/>
          <w:sz w:val="24"/>
        </w:rPr>
        <w:t>For good and valuable consideration, the receipt of which is acknowledged, the undersigned hereby agrees, to the extent that the Policy is authorized and required by Applicable Rules (as defined in the Policy), that: (i) the undersigned is and shall be bound by and subject to the terms of the Policy; (ii) compensation received by the undersigned may be subject to reduction, cancellation, forfeiture and/or recoupment to the extent necessary to comply with the Policy, notwithstanding any other agreement to the contrary; (iii) the undersigned is not entitled to indemnification in connection with any enforcement of the Policy to the extent required by the Applicable Rules; and (iv) the undersigned expressly waives any rights to such indemnification under the Company’s organizational documents or otherwise.</w:t>
      </w:r>
    </w:p>
    <w:p>
      <w:pPr>
        <w:pStyle w:val="TextBody"/>
        <w:bidi w:val="0"/>
        <w:spacing w:before="0" w:after="160"/>
        <w:ind w:left="0" w:right="0" w:firstLine="720"/>
        <w:jc w:val="both"/>
        <w:rPr/>
      </w:pPr>
      <w:r>
        <w:rPr/>
      </w:r>
    </w:p>
    <w:p>
      <w:pPr>
        <w:pStyle w:val="TextBody"/>
        <w:bidi w:val="0"/>
        <w:spacing w:before="0" w:after="160"/>
        <w:ind w:left="0" w:right="0" w:firstLine="720"/>
        <w:jc w:val="both"/>
        <w:rPr/>
      </w:pPr>
      <w:r>
        <w:rPr/>
      </w:r>
    </w:p>
    <w:tbl>
      <w:tblPr>
        <w:tblW w:w="7350" w:type="dxa"/>
        <w:jc w:val="left"/>
        <w:tblInd w:w="0" w:type="dxa"/>
        <w:tblLayout w:type="fixed"/>
        <w:tblCellMar>
          <w:top w:w="28" w:type="dxa"/>
          <w:left w:w="28" w:type="dxa"/>
          <w:bottom w:w="28" w:type="dxa"/>
          <w:right w:w="28" w:type="dxa"/>
        </w:tblCellMar>
      </w:tblPr>
      <w:tblGrid>
        <w:gridCol w:w="870"/>
        <w:gridCol w:w="761"/>
        <w:gridCol w:w="769"/>
        <w:gridCol w:w="1446"/>
        <w:gridCol w:w="1446"/>
        <w:gridCol w:w="2058"/>
      </w:tblGrid>
      <w:tr>
        <w:trPr/>
        <w:tc>
          <w:tcPr>
            <w:tcW w:w="870"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2058"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lineRule="auto" w:line="300" w:before="0" w:after="160"/>
              <w:jc w:val="both"/>
              <w:rPr>
                <w:rFonts w:ascii="Times New Roman;serif" w:hAnsi="Times New Roman;serif"/>
                <w:b w:val="false"/>
                <w:color w:val="000000"/>
                <w:sz w:val="24"/>
              </w:rPr>
            </w:pPr>
            <w:r>
              <w:rPr>
                <w:rFonts w:ascii="Times New Roman;serif" w:hAnsi="Times New Roman;serif"/>
                <w:b w:val="false"/>
                <w:color w:val="000000"/>
                <w:sz w:val="24"/>
              </w:rPr>
              <w:t>___________________</w:t>
            </w:r>
          </w:p>
          <w:p>
            <w:pPr>
              <w:pStyle w:val="TableContents"/>
              <w:bidi w:val="0"/>
              <w:spacing w:lineRule="auto" w:line="300" w:before="0" w:after="160"/>
              <w:jc w:val="both"/>
              <w:rPr>
                <w:rFonts w:ascii="Times New Roman;serif" w:hAnsi="Times New Roman;serif"/>
                <w:b w:val="false"/>
                <w:color w:val="000000"/>
                <w:sz w:val="24"/>
              </w:rPr>
            </w:pPr>
            <w:r>
              <w:rPr>
                <w:rFonts w:ascii="Times New Roman;serif" w:hAnsi="Times New Roman;serif"/>
                <w:b w:val="false"/>
                <w:color w:val="000000"/>
                <w:sz w:val="24"/>
              </w:rPr>
              <w:t>Date</w:t>
            </w:r>
          </w:p>
        </w:tc>
        <w:tc>
          <w:tcPr>
            <w:tcW w:w="4950" w:type="dxa"/>
            <w:gridSpan w:val="3"/>
            <w:tcBorders/>
            <w:tcMar>
              <w:top w:w="0" w:type="dxa"/>
              <w:left w:w="0" w:type="dxa"/>
              <w:bottom w:w="0" w:type="dxa"/>
              <w:right w:w="0" w:type="dxa"/>
            </w:tcMar>
            <w:vAlign w:val="center"/>
          </w:tcPr>
          <w:p>
            <w:pPr>
              <w:pStyle w:val="TableContents"/>
              <w:bidi w:val="0"/>
              <w:spacing w:lineRule="auto" w:line="300" w:before="0" w:after="160"/>
              <w:jc w:val="both"/>
              <w:rPr>
                <w:rFonts w:ascii="Times New Roman;serif" w:hAnsi="Times New Roman;serif"/>
                <w:b w:val="false"/>
                <w:color w:val="000000"/>
                <w:sz w:val="24"/>
              </w:rPr>
            </w:pPr>
            <w:r>
              <w:rPr>
                <w:rFonts w:ascii="Times New Roman;serif" w:hAnsi="Times New Roman;serif"/>
                <w:b w:val="false"/>
                <w:color w:val="000000"/>
                <w:sz w:val="24"/>
              </w:rPr>
              <w:t>________________________________________</w:t>
            </w:r>
          </w:p>
          <w:p>
            <w:pPr>
              <w:pStyle w:val="TableContents"/>
              <w:bidi w:val="0"/>
              <w:spacing w:lineRule="auto" w:line="300" w:before="0" w:after="160"/>
              <w:jc w:val="both"/>
              <w:rPr>
                <w:rFonts w:ascii="Times New Roman;serif" w:hAnsi="Times New Roman;serif"/>
                <w:b w:val="false"/>
                <w:color w:val="000000"/>
                <w:sz w:val="24"/>
              </w:rPr>
            </w:pPr>
            <w:r>
              <w:rPr>
                <w:rFonts w:ascii="Times New Roman;serif" w:hAnsi="Times New Roman;serif"/>
                <w:b w:val="false"/>
                <w:color w:val="000000"/>
                <w:sz w:val="24"/>
              </w:rPr>
              <w:t>Signature</w:t>
            </w:r>
          </w:p>
        </w:tc>
      </w:tr>
      <w:tr>
        <w:trPr/>
        <w:tc>
          <w:tcPr>
            <w:tcW w:w="2400" w:type="dxa"/>
            <w:gridSpan w:val="3"/>
            <w:tcBorders/>
            <w:tcMar>
              <w:top w:w="0" w:type="dxa"/>
              <w:left w:w="0" w:type="dxa"/>
              <w:bottom w:w="0" w:type="dxa"/>
              <w:right w:w="0" w:type="dxa"/>
            </w:tcMar>
            <w:vAlign w:val="center"/>
          </w:tcPr>
          <w:p>
            <w:pPr>
              <w:pStyle w:val="TableContents"/>
              <w:bidi w:val="0"/>
              <w:spacing w:before="0" w:after="160"/>
              <w:jc w:val="both"/>
              <w:rPr/>
            </w:pPr>
            <w:r>
              <w:rPr/>
            </w:r>
          </w:p>
        </w:tc>
        <w:tc>
          <w:tcPr>
            <w:tcW w:w="4950" w:type="dxa"/>
            <w:gridSpan w:val="3"/>
            <w:tcBorders/>
            <w:tcMar>
              <w:top w:w="0" w:type="dxa"/>
              <w:left w:w="0" w:type="dxa"/>
              <w:bottom w:w="0" w:type="dxa"/>
              <w:right w:w="0" w:type="dxa"/>
            </w:tcMar>
            <w:vAlign w:val="center"/>
          </w:tcPr>
          <w:p>
            <w:pPr>
              <w:pStyle w:val="TableContents"/>
              <w:bidi w:val="0"/>
              <w:spacing w:lineRule="auto" w:line="300" w:before="0" w:after="160"/>
              <w:jc w:val="both"/>
              <w:rPr>
                <w:rFonts w:ascii="Times New Roman;serif" w:hAnsi="Times New Roman;serif"/>
                <w:b w:val="false"/>
                <w:color w:val="000000"/>
                <w:sz w:val="24"/>
              </w:rPr>
            </w:pPr>
            <w:r>
              <w:rPr>
                <w:rFonts w:ascii="Times New Roman;serif" w:hAnsi="Times New Roman;serif"/>
                <w:b w:val="false"/>
                <w:color w:val="000000"/>
                <w:sz w:val="24"/>
              </w:rPr>
              <w:t>________________________________________</w:t>
            </w:r>
          </w:p>
          <w:p>
            <w:pPr>
              <w:pStyle w:val="TableContents"/>
              <w:bidi w:val="0"/>
              <w:spacing w:lineRule="auto" w:line="300" w:before="0" w:after="160"/>
              <w:jc w:val="both"/>
              <w:rPr>
                <w:rFonts w:ascii="Times New Roman;serif" w:hAnsi="Times New Roman;serif"/>
                <w:b w:val="false"/>
                <w:color w:val="000000"/>
                <w:sz w:val="24"/>
              </w:rPr>
            </w:pPr>
            <w:r>
              <w:rPr>
                <w:rFonts w:ascii="Times New Roman;serif" w:hAnsi="Times New Roman;serif"/>
                <w:b w:val="false"/>
                <w:color w:val="000000"/>
                <w:sz w:val="24"/>
              </w:rPr>
              <w:t>Name</w:t>
            </w:r>
          </w:p>
        </w:tc>
      </w:tr>
      <w:tr>
        <w:trPr/>
        <w:tc>
          <w:tcPr>
            <w:tcW w:w="2400" w:type="dxa"/>
            <w:gridSpan w:val="3"/>
            <w:tcBorders/>
            <w:tcMar>
              <w:top w:w="0" w:type="dxa"/>
              <w:left w:w="0" w:type="dxa"/>
              <w:bottom w:w="0" w:type="dxa"/>
              <w:right w:w="0" w:type="dxa"/>
            </w:tcMar>
            <w:vAlign w:val="center"/>
          </w:tcPr>
          <w:p>
            <w:pPr>
              <w:pStyle w:val="TableContents"/>
              <w:bidi w:val="0"/>
              <w:spacing w:before="0" w:after="160"/>
              <w:jc w:val="both"/>
              <w:rPr/>
            </w:pPr>
            <w:r>
              <w:rPr/>
            </w:r>
          </w:p>
        </w:tc>
        <w:tc>
          <w:tcPr>
            <w:tcW w:w="4950" w:type="dxa"/>
            <w:gridSpan w:val="3"/>
            <w:tcBorders/>
            <w:tcMar>
              <w:top w:w="0" w:type="dxa"/>
              <w:left w:w="0" w:type="dxa"/>
              <w:bottom w:w="0" w:type="dxa"/>
              <w:right w:w="0" w:type="dxa"/>
            </w:tcMar>
            <w:vAlign w:val="center"/>
          </w:tcPr>
          <w:p>
            <w:pPr>
              <w:pStyle w:val="TableContents"/>
              <w:bidi w:val="0"/>
              <w:spacing w:lineRule="auto" w:line="300" w:before="0" w:after="160"/>
              <w:jc w:val="both"/>
              <w:rPr>
                <w:rFonts w:ascii="Times New Roman;serif" w:hAnsi="Times New Roman;serif"/>
                <w:b w:val="false"/>
                <w:color w:val="000000"/>
                <w:sz w:val="24"/>
              </w:rPr>
            </w:pPr>
            <w:r>
              <w:rPr>
                <w:rFonts w:ascii="Times New Roman;serif" w:hAnsi="Times New Roman;serif"/>
                <w:b w:val="false"/>
                <w:color w:val="000000"/>
                <w:sz w:val="24"/>
              </w:rPr>
              <w:t>________________________________________</w:t>
            </w:r>
          </w:p>
          <w:p>
            <w:pPr>
              <w:pStyle w:val="TableContents"/>
              <w:bidi w:val="0"/>
              <w:spacing w:lineRule="auto" w:line="300" w:before="0" w:after="160"/>
              <w:jc w:val="both"/>
              <w:rPr>
                <w:rFonts w:ascii="Times New Roman;serif" w:hAnsi="Times New Roman;serif"/>
                <w:b w:val="false"/>
                <w:color w:val="000000"/>
                <w:sz w:val="24"/>
              </w:rPr>
            </w:pPr>
            <w:r>
              <w:rPr>
                <w:rFonts w:ascii="Times New Roman;serif" w:hAnsi="Times New Roman;serif"/>
                <w:b w:val="false"/>
                <w:color w:val="000000"/>
                <w:sz w:val="24"/>
              </w:rPr>
              <w:t>Title</w:t>
            </w:r>
          </w:p>
        </w:tc>
      </w:tr>
    </w:tbl>
    <w:p>
      <w:pPr>
        <w:pStyle w:val="TextBody"/>
        <w:bidi w:val="0"/>
        <w:spacing w:before="0" w:after="240"/>
        <w:jc w:val="center"/>
        <w:rPr/>
      </w:pPr>
      <w:r>
        <w:rPr/>
      </w:r>
    </w:p>
    <w:p>
      <w:pPr>
        <w:pStyle w:val="TextBody"/>
        <w:bidi w:val="0"/>
        <w:spacing w:before="0" w:after="240"/>
        <w:ind w:left="0" w:right="0" w:firstLine="720"/>
        <w:jc w:val="both"/>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6480175" cy="1031240"/>
                <wp:effectExtent l="0" t="0" r="0" b="0"/>
                <wp:wrapNone/>
                <wp:docPr id="286" name="Frame281"/>
                <a:graphic xmlns:a="http://schemas.openxmlformats.org/drawingml/2006/main">
                  <a:graphicData uri="http://schemas.microsoft.com/office/word/2010/wordprocessingShape">
                    <wps:wsp>
                      <wps:cNvSpPr txBox="1"/>
                      <wps:spPr>
                        <a:xfrm>
                          <a:off x="0" y="0"/>
                          <a:ext cx="6480175" cy="1031240"/>
                        </a:xfrm>
                        <a:prstGeom prst="rect"/>
                        <a:solidFill>
                          <a:srgbClr val="FFFFFF"/>
                        </a:solidFill>
                      </wps:spPr>
                      <wps:txbx>
                        <w:txbxContent>
                          <w:p>
                            <w:pPr>
                              <w:pStyle w:val="TextBody"/>
                              <w:bidi w:val="0"/>
                              <w:spacing w:before="0" w:after="160"/>
                              <w:jc w:val="center"/>
                              <w:rPr/>
                            </w:pPr>
                            <w:r>
                              <w:rPr/>
                            </w:r>
                            <w:r>
                              <w:br w:type="page"/>
                            </w:r>
                          </w:p>
                          <w:p>
                            <w:pPr>
                              <w:pStyle w:val="TextBody"/>
                              <w:bidi w:val="0"/>
                              <w:spacing w:lineRule="auto" w:line="300" w:before="0" w:after="160"/>
                              <w:jc w:val="center"/>
                              <w:rPr>
                                <w:rFonts w:ascii="Times New Roman;serif" w:hAnsi="Times New Roman;serif"/>
                                <w:b w:val="false"/>
                                <w:color w:val="000000"/>
                                <w:sz w:val="22"/>
                              </w:rPr>
                            </w:pPr>
                            <w:r>
                              <w:rPr>
                                <w:rFonts w:ascii="Times New Roman;serif" w:hAnsi="Times New Roman;serif"/>
                                <w:b w:val="false"/>
                                <w:color w:val="000000"/>
                                <w:sz w:val="22"/>
                              </w:rPr>
                              <w:t>1</w:t>
                            </w:r>
                          </w:p>
                          <w:p>
                            <w:pPr>
                              <w:pStyle w:val="TextBody"/>
                              <w:bidi w:val="0"/>
                              <w:spacing w:before="0" w:after="160"/>
                              <w:jc w:val="center"/>
                              <w:rPr/>
                            </w:pPr>
                            <w:r>
                              <w:rPr/>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center"/>
                        <w:rPr/>
                      </w:pPr>
                      <w:r>
                        <w:rPr/>
                      </w:r>
                    </w:p>
                    <w:p>
                      <w:pPr>
                        <w:pStyle w:val="TextBody"/>
                        <w:bidi w:val="0"/>
                        <w:spacing w:lineRule="auto" w:line="300" w:before="0" w:after="160"/>
                        <w:jc w:val="center"/>
                        <w:rPr>
                          <w:rFonts w:ascii="Times New Roman;serif" w:hAnsi="Times New Roman;serif"/>
                          <w:b w:val="false"/>
                          <w:color w:val="000000"/>
                          <w:sz w:val="22"/>
                        </w:rPr>
                      </w:pPr>
                      <w:r>
                        <w:rPr>
                          <w:rFonts w:ascii="Times New Roman;serif" w:hAnsi="Times New Roman;serif"/>
                          <w:b w:val="false"/>
                          <w:color w:val="000000"/>
                          <w:sz w:val="22"/>
                        </w:rPr>
                        <w:t>1</w:t>
                      </w:r>
                    </w:p>
                    <w:p>
                      <w:pPr>
                        <w:pStyle w:val="TextBody"/>
                        <w:bidi w:val="0"/>
                        <w:spacing w:before="0" w:after="160"/>
                        <w:jc w:val="center"/>
                        <w:rPr/>
                      </w:pPr>
                      <w:r>
                        <w:rPr/>
                      </w:r>
                    </w:p>
                    <w:p>
                      <w:pPr>
                        <w:pStyle w:val="TextBody"/>
                        <w:bidi w:val="0"/>
                        <w:spacing w:before="0" w:after="16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 w:name="sans-serif">
    <w:altName w:val="Arial"/>
    <w:charset w:val="01"/>
    <w:family w:val="auto"/>
    <w:pitch w:val="default"/>
  </w:font>
  <w:font w:name="Apto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s://www.sec.gov/Archives/edgar/data/2064124/000206412425000018/exhibit31-closing8xk.htm" TargetMode="External"/><Relationship Id="rId5" Type="http://schemas.openxmlformats.org/officeDocument/2006/relationships/hyperlink" Target="https://www.sec.gov/Archives/edgar/data/2064124/000206412425000018/exhibit31-closing8xk.htm" TargetMode="External"/><Relationship Id="rId6" Type="http://schemas.openxmlformats.org/officeDocument/2006/relationships/hyperlink" Target="https://www.sec.gov/Archives/edgar/data/2064124/000206412425000018/exhibit31-closing8xk.htm" TargetMode="External"/><Relationship Id="rId7" Type="http://schemas.openxmlformats.org/officeDocument/2006/relationships/hyperlink" Target="https://www.sec.gov/Archives/edgar/data/2064124/000206412425000018/exhibit32-closing8xk.htm" TargetMode="External"/><Relationship Id="rId8" Type="http://schemas.openxmlformats.org/officeDocument/2006/relationships/hyperlink" Target="https://www.sec.gov/Archives/edgar/data/2064124/000162828025041443/exhibit41-sx1a2.htm" TargetMode="External"/><Relationship Id="rId9" Type="http://schemas.openxmlformats.org/officeDocument/2006/relationships/hyperlink" Target="https://www.sec.gov/Archives/edgar/data/2064124/000162828025041443/exhibit42-sx1a2.htm" TargetMode="External"/><Relationship Id="rId10" Type="http://schemas.openxmlformats.org/officeDocument/2006/relationships/hyperlink" Target="https://www.sec.gov/Archives/edgar/data/2064124/000162828025041731/exhibit43-sx1a3.htm" TargetMode="External"/><Relationship Id="rId11" Type="http://schemas.openxmlformats.org/officeDocument/2006/relationships/hyperlink" Target="https://www.sec.gov/Archives/edgar/data/0002064124/000162828026007370/exhibit42-blockchainsx1a2.htm" TargetMode="External"/><Relationship Id="rId12" Type="http://schemas.openxmlformats.org/officeDocument/2006/relationships/hyperlink" Target="https://www.sec.gov/Archives/edgar/data/2064124/000162828025041089/exhibit101-sx1aexhibitsonly.htm" TargetMode="External"/><Relationship Id="rId13" Type="http://schemas.openxmlformats.org/officeDocument/2006/relationships/hyperlink" Target="https://www.sec.gov/Archives/edgar/data/2064124/000162828025041089/exhibit102-sx1aexhibitsonly.htm" TargetMode="External"/><Relationship Id="rId14" Type="http://schemas.openxmlformats.org/officeDocument/2006/relationships/hyperlink" Target="https://www.sec.gov/Archives/edgar/data/2064124/000162828025041089/exhibit103-sx1aexhibitsonly.htm" TargetMode="External"/><Relationship Id="rId15" Type="http://schemas.openxmlformats.org/officeDocument/2006/relationships/hyperlink" Target="https://www.sec.gov/Archives/edgar/data/2064124/000162828025041089/exhibit104-sx1aexhibitsonly.htm" TargetMode="External"/><Relationship Id="rId16" Type="http://schemas.openxmlformats.org/officeDocument/2006/relationships/hyperlink" Target="https://www.sec.gov/Archives/edgar/data/2064124/000162828025041443/exhibit105-sx1a2.htm" TargetMode="External"/><Relationship Id="rId17" Type="http://schemas.openxmlformats.org/officeDocument/2006/relationships/hyperlink" Target="https://www.sec.gov/Archives/edgar/data/2064124/000162828025041837/exhibit1020-sx1a5.htm" TargetMode="External"/><Relationship Id="rId18" Type="http://schemas.openxmlformats.org/officeDocument/2006/relationships/hyperlink" Target="https://www.sec.gov/Archives/edgar/data/2064124/000206412425000022/exhibit995-sx8.htm" TargetMode="External"/><Relationship Id="rId19" Type="http://schemas.openxmlformats.org/officeDocument/2006/relationships/hyperlink" Target="https://www.sec.gov/Archives/edgar/data/2064124/000162828025041089/exhibit107-sx1aexhibitsonly.htm" TargetMode="External"/><Relationship Id="rId20" Type="http://schemas.openxmlformats.org/officeDocument/2006/relationships/hyperlink" Target="https://www.sec.gov/Archives/edgar/data/2064124/000162828025041089/exhibit108-sx1aexhibitsonly.htm" TargetMode="External"/><Relationship Id="rId21" Type="http://schemas.openxmlformats.org/officeDocument/2006/relationships/hyperlink" Target="https://www.sec.gov/Archives/edgar/data/2064124/000206412425000022/exhibit998-sx8.htm" TargetMode="External"/><Relationship Id="rId22" Type="http://schemas.openxmlformats.org/officeDocument/2006/relationships/hyperlink" Target="https://www.sec.gov/Archives/edgar/data/2064124/000162828025041089/exhibit109-sx1aexhibitsonly.htm" TargetMode="External"/><Relationship Id="rId23" Type="http://schemas.openxmlformats.org/officeDocument/2006/relationships/hyperlink" Target="https://www.sec.gov/Archives/edgar/data/2064124/000162828025041089/exhibit1010-sx1aexhibitson.htm" TargetMode="External"/><Relationship Id="rId24" Type="http://schemas.openxmlformats.org/officeDocument/2006/relationships/hyperlink" Target="https://www.sec.gov/Archives/edgar/data/2064124/000162828025041443/exhibit1014-sx1a2.htm" TargetMode="External"/><Relationship Id="rId25" Type="http://schemas.openxmlformats.org/officeDocument/2006/relationships/hyperlink" Target="https://www.sec.gov/Archives/edgar/data/2064124/000162828025041443/exhibit1014-sx1a2.htm" TargetMode="External"/><Relationship Id="rId26" Type="http://schemas.openxmlformats.org/officeDocument/2006/relationships/hyperlink" Target="https://www.sec.gov/Archives/edgar/data/2064124/000162828025041443/exhibit1014-sx1a2.htm" TargetMode="External"/><Relationship Id="rId27" Type="http://schemas.openxmlformats.org/officeDocument/2006/relationships/hyperlink" Target="https://www.sec.gov/Archives/edgar/data/2064124/000162828025041443/exhibit1014-sx1a2.htm" TargetMode="External"/><Relationship Id="rId28" Type="http://schemas.openxmlformats.org/officeDocument/2006/relationships/hyperlink" Target="https://www.sec.gov/Archives/edgar/data/2064124/000162828025041837/exhibit1019-sx1a5.htm" TargetMode="External"/><Relationship Id="rId29" Type="http://schemas.openxmlformats.org/officeDocument/2006/relationships/hyperlink" Target="https://www.sec.gov/Archives/edgar/data/2064124/000162828025041837/exhibit1019-sx1a5.htm" TargetMode="External"/><Relationship Id="rId30" Type="http://schemas.openxmlformats.org/officeDocument/2006/relationships/hyperlink" Target="https://www.sec.gov/Archives/edgar/data/2064124/000162828025041837/exhibit1019-sx1a5.htm" TargetMode="External"/><Relationship Id="rId31" Type="http://schemas.openxmlformats.org/officeDocument/2006/relationships/hyperlink" Target="https://www.sec.gov/Archives/edgar/data/2064124/000162828025041837/exhibit1019-sx1a5.htm" TargetMode="External"/><Relationship Id="rId32" Type="http://schemas.openxmlformats.org/officeDocument/2006/relationships/hyperlink" Target="https://www.sec.gov/Archives/edgar/data/2064124/000162828025041837/exhibit1019-sx1a5.htm" TargetMode="External"/><Relationship Id="rId33" Type="http://schemas.openxmlformats.org/officeDocument/2006/relationships/hyperlink" Target="https://www.sec.gov/Archives/edgar/data/2064124/000162828025041837/exhibit1019-sx1a5.htm" TargetMode="External"/><Relationship Id="rId34" Type="http://schemas.openxmlformats.org/officeDocument/2006/relationships/hyperlink" Target="https://www.sec.gov/Archives/edgar/data/2064124/000162828025041837/exhibit1019-sx1a5.htm" TargetMode="External"/><Relationship Id="rId35" Type="http://schemas.openxmlformats.org/officeDocument/2006/relationships/hyperlink" Target="https://www.sec.gov/Archives/edgar/data/2064124/000162828025041837/exhibit1019-sx1a5.htm" TargetMode="External"/><Relationship Id="rId36" Type="http://schemas.openxmlformats.org/officeDocument/2006/relationships/hyperlink" Target="https://www.sec.gov/Archives/edgar/data/2064124/000162828025041837/exhibit1019-sx1a5.htm" TargetMode="External"/><Relationship Id="rId37" Type="http://schemas.openxmlformats.org/officeDocument/2006/relationships/hyperlink" Target="https://www.sec.gov/Archives/edgar/data/2064124/000162828025041837/exhibit1019-sx1a5.htm" TargetMode="External"/><Relationship Id="rId38" Type="http://schemas.openxmlformats.org/officeDocument/2006/relationships/hyperlink" Target="https://www.sec.gov/Archives/edgar/data/2064124/000162828025041731/exhibit1015-sx1a3.htm" TargetMode="External"/><Relationship Id="rId39" Type="http://schemas.openxmlformats.org/officeDocument/2006/relationships/hyperlink" Target="https://www.sec.gov/Archives/edgar/data/2064124/000162828025040673/exhibit1010-sx1.htm" TargetMode="External"/><Relationship Id="rId40" Type="http://schemas.openxmlformats.org/officeDocument/2006/relationships/hyperlink" Target="https://www.sec.gov/Archives/edgar/data/2064124/000162828025040673/exhibit106-sx1.htm" TargetMode="External"/><Relationship Id="rId41" Type="http://schemas.openxmlformats.org/officeDocument/2006/relationships/hyperlink" Target="https://www.sec.gov/Archives/edgar/data/2064124/000162828025040673/exhibit107-sx1.htm" TargetMode="External"/><Relationship Id="rId42" Type="http://schemas.openxmlformats.org/officeDocument/2006/relationships/hyperlink" Target="https://www.sec.gov/Archives/edgar/data/2064124/000162828025040673/exhibit1011-sx1.htm" TargetMode="External"/><Relationship Id="rId43" Type="http://schemas.openxmlformats.org/officeDocument/2006/relationships/hyperlink" Target="https://www.sec.gov/Archives/edgar/data/2064124/000162828025040673/exhibit1012-sx1.htm" TargetMode="External"/><Relationship Id="rId44" Type="http://schemas.openxmlformats.org/officeDocument/2006/relationships/image" Target="media/image3.jpeg"/><Relationship Id="rId45" Type="http://schemas.openxmlformats.org/officeDocument/2006/relationships/image" Target="media/image4.jpeg"/><Relationship Id="rId46" Type="http://schemas.openxmlformats.org/officeDocument/2006/relationships/image" Target="media/image3.jpeg"/><Relationship Id="rId47" Type="http://schemas.openxmlformats.org/officeDocument/2006/relationships/fontTable" Target="fontTable.xml"/><Relationship Id="rId4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105</Pages>
  <Words>172078</Words>
  <Characters>960035</Characters>
  <CharactersWithSpaces>1127004</CharactersWithSpaces>
  <Paragraphs>8668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